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F1A0" w14:textId="77777777" w:rsidR="0020610A" w:rsidRDefault="0020610A" w:rsidP="00AD1E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1DAC11" w14:textId="3898A38A" w:rsidR="00A241EC" w:rsidRPr="00E80C68" w:rsidRDefault="00A13829" w:rsidP="00AD1E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0C68">
        <w:rPr>
          <w:rFonts w:ascii="Arial" w:hAnsi="Arial" w:cs="Arial"/>
          <w:b/>
          <w:bCs/>
          <w:sz w:val="22"/>
          <w:szCs w:val="22"/>
        </w:rPr>
        <w:t xml:space="preserve">Základní informace o společnosti ATLANTIK finanční trhy, a.s. a poskytovaných </w:t>
      </w:r>
      <w:r w:rsidR="00E80C68" w:rsidRPr="00E80C68">
        <w:rPr>
          <w:rFonts w:ascii="Arial" w:hAnsi="Arial" w:cs="Arial"/>
          <w:b/>
          <w:bCs/>
          <w:sz w:val="22"/>
          <w:szCs w:val="22"/>
        </w:rPr>
        <w:t xml:space="preserve">investičních </w:t>
      </w:r>
      <w:r w:rsidRPr="00E80C68">
        <w:rPr>
          <w:rFonts w:ascii="Arial" w:hAnsi="Arial" w:cs="Arial"/>
          <w:b/>
          <w:bCs/>
          <w:sz w:val="22"/>
          <w:szCs w:val="22"/>
        </w:rPr>
        <w:t>službách</w:t>
      </w:r>
    </w:p>
    <w:p w14:paraId="00DBCF8C" w14:textId="2CE6BC13" w:rsidR="00A13829" w:rsidRDefault="00A13829" w:rsidP="00A13829">
      <w:pPr>
        <w:rPr>
          <w:rFonts w:ascii="Arial" w:hAnsi="Arial" w:cs="Arial"/>
          <w:b/>
          <w:bCs/>
          <w:sz w:val="20"/>
          <w:szCs w:val="20"/>
        </w:rPr>
      </w:pPr>
    </w:p>
    <w:p w14:paraId="2AC9EE09" w14:textId="77777777" w:rsidR="00D232A8" w:rsidRDefault="00D232A8" w:rsidP="00A13829">
      <w:pPr>
        <w:rPr>
          <w:rFonts w:ascii="Arial" w:hAnsi="Arial" w:cs="Arial"/>
          <w:b/>
          <w:bCs/>
          <w:sz w:val="20"/>
          <w:szCs w:val="20"/>
        </w:rPr>
      </w:pPr>
    </w:p>
    <w:p w14:paraId="5CA66580" w14:textId="343A9855" w:rsidR="00A13829" w:rsidRPr="00E80C68" w:rsidRDefault="00A13829" w:rsidP="002F281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80C68">
        <w:rPr>
          <w:rFonts w:ascii="Arial" w:hAnsi="Arial" w:cs="Arial"/>
          <w:sz w:val="20"/>
          <w:szCs w:val="20"/>
        </w:rPr>
        <w:t>Na základě příslušných zákonných ustanovení, zejména zákona č. 256/2004 Sb., o podnikání na kapitálovém trhu, ve znění pozdějších předpisů (dále jen „</w:t>
      </w:r>
      <w:r w:rsidRPr="00E80C68">
        <w:rPr>
          <w:rFonts w:ascii="Arial" w:hAnsi="Arial" w:cs="Arial"/>
          <w:b/>
          <w:bCs/>
          <w:sz w:val="20"/>
          <w:szCs w:val="20"/>
        </w:rPr>
        <w:t>ZPKT</w:t>
      </w:r>
      <w:r w:rsidRPr="00E80C68">
        <w:rPr>
          <w:rFonts w:ascii="Arial" w:hAnsi="Arial" w:cs="Arial"/>
          <w:sz w:val="20"/>
          <w:szCs w:val="20"/>
        </w:rPr>
        <w:t>“), informuje tímto společnost ATLANTIK finanční trhy, a.s.</w:t>
      </w:r>
      <w:r w:rsidR="00E80C68" w:rsidRPr="00E80C68">
        <w:rPr>
          <w:rFonts w:ascii="Arial" w:hAnsi="Arial" w:cs="Arial"/>
          <w:sz w:val="20"/>
          <w:szCs w:val="20"/>
        </w:rPr>
        <w:t>,</w:t>
      </w:r>
      <w:r w:rsidRPr="00E80C68">
        <w:rPr>
          <w:rFonts w:ascii="Arial" w:hAnsi="Arial" w:cs="Arial"/>
          <w:sz w:val="20"/>
          <w:szCs w:val="20"/>
        </w:rPr>
        <w:t xml:space="preserve"> IČO: </w:t>
      </w:r>
      <w:r w:rsidR="00E80C68" w:rsidRPr="00E80C68">
        <w:rPr>
          <w:rFonts w:ascii="Arial" w:hAnsi="Arial" w:cs="Arial"/>
          <w:sz w:val="20"/>
          <w:szCs w:val="20"/>
        </w:rPr>
        <w:t>26218062, se sídlem Sokolovská 700/</w:t>
      </w:r>
      <w:proofErr w:type="gramStart"/>
      <w:r w:rsidR="00E80C68" w:rsidRPr="00E80C68">
        <w:rPr>
          <w:rFonts w:ascii="Arial" w:hAnsi="Arial" w:cs="Arial"/>
          <w:sz w:val="20"/>
          <w:szCs w:val="20"/>
        </w:rPr>
        <w:t>113a</w:t>
      </w:r>
      <w:proofErr w:type="gramEnd"/>
      <w:r w:rsidR="00E80C68" w:rsidRPr="00E80C68">
        <w:rPr>
          <w:rFonts w:ascii="Arial" w:hAnsi="Arial" w:cs="Arial"/>
          <w:sz w:val="20"/>
          <w:szCs w:val="20"/>
        </w:rPr>
        <w:t>, Karlín, Praha 8, PSČ 186 00 (dále jen „</w:t>
      </w:r>
      <w:r w:rsidR="00E80C68" w:rsidRPr="00E80C68">
        <w:rPr>
          <w:rFonts w:ascii="Arial" w:hAnsi="Arial" w:cs="Arial"/>
          <w:b/>
          <w:bCs/>
          <w:sz w:val="20"/>
          <w:szCs w:val="20"/>
        </w:rPr>
        <w:t>Atlantik</w:t>
      </w:r>
      <w:r w:rsidR="00E80C68" w:rsidRPr="00E80C68">
        <w:rPr>
          <w:rFonts w:ascii="Arial" w:hAnsi="Arial" w:cs="Arial"/>
          <w:sz w:val="20"/>
          <w:szCs w:val="20"/>
        </w:rPr>
        <w:t>“) své zákazníky a některých skutečnostech souvisejících s poskytováním investičních služeb.</w:t>
      </w:r>
    </w:p>
    <w:p w14:paraId="46F2CB0C" w14:textId="4C1F9B11" w:rsidR="00E80C68" w:rsidRPr="00E80C68" w:rsidRDefault="00E80C68" w:rsidP="002F2814">
      <w:pPr>
        <w:spacing w:before="60" w:after="60"/>
        <w:rPr>
          <w:rFonts w:ascii="Arial" w:hAnsi="Arial" w:cs="Arial"/>
          <w:sz w:val="20"/>
          <w:szCs w:val="20"/>
        </w:rPr>
      </w:pPr>
    </w:p>
    <w:p w14:paraId="04E46EB4" w14:textId="1D403E60" w:rsidR="00E80C68" w:rsidRPr="004B12FC" w:rsidRDefault="00E80C68" w:rsidP="002F2814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>Základní informace o A</w:t>
      </w:r>
      <w:r w:rsidR="003B1BA3" w:rsidRPr="004B12FC">
        <w:rPr>
          <w:rFonts w:ascii="Arial" w:hAnsi="Arial" w:cs="Arial"/>
          <w:b/>
          <w:bCs/>
          <w:sz w:val="20"/>
          <w:szCs w:val="20"/>
          <w:u w:val="single"/>
        </w:rPr>
        <w:t>tlantiku</w:t>
      </w:r>
    </w:p>
    <w:p w14:paraId="3771AB9F" w14:textId="5E1D08F0" w:rsidR="00E80C68" w:rsidRPr="00E80C68" w:rsidRDefault="004B12FC" w:rsidP="004B12F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80C68" w:rsidRPr="004B12FC">
        <w:rPr>
          <w:rFonts w:ascii="Arial" w:hAnsi="Arial" w:cs="Arial"/>
          <w:sz w:val="20"/>
          <w:szCs w:val="20"/>
        </w:rPr>
        <w:t>Obchodní firma:</w:t>
      </w:r>
      <w:r w:rsidR="00E80C68" w:rsidRPr="00E80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0C68" w:rsidRPr="00E80C68">
        <w:rPr>
          <w:rFonts w:ascii="Arial" w:hAnsi="Arial" w:cs="Arial"/>
          <w:sz w:val="20"/>
          <w:szCs w:val="20"/>
        </w:rPr>
        <w:t>ATLANTIK finanční trhy, a.s.</w:t>
      </w:r>
    </w:p>
    <w:p w14:paraId="30554D4B" w14:textId="5192C1C4" w:rsidR="00E80C68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 w:rsidRPr="00E80C68">
        <w:rPr>
          <w:rFonts w:ascii="Arial" w:hAnsi="Arial" w:cs="Arial"/>
          <w:sz w:val="20"/>
          <w:szCs w:val="20"/>
        </w:rPr>
        <w:t>Z</w:t>
      </w:r>
      <w:r w:rsidR="004B12FC">
        <w:rPr>
          <w:rFonts w:ascii="Arial" w:hAnsi="Arial" w:cs="Arial"/>
          <w:sz w:val="20"/>
          <w:szCs w:val="20"/>
        </w:rPr>
        <w:t>á</w:t>
      </w:r>
      <w:r w:rsidRPr="00E80C68">
        <w:rPr>
          <w:rFonts w:ascii="Arial" w:hAnsi="Arial" w:cs="Arial"/>
          <w:sz w:val="20"/>
          <w:szCs w:val="20"/>
        </w:rPr>
        <w:t>p</w:t>
      </w:r>
      <w:r w:rsidR="004B12FC">
        <w:rPr>
          <w:rFonts w:ascii="Arial" w:hAnsi="Arial" w:cs="Arial"/>
          <w:sz w:val="20"/>
          <w:szCs w:val="20"/>
        </w:rPr>
        <w:t>i</w:t>
      </w:r>
      <w:r w:rsidRPr="00E80C68">
        <w:rPr>
          <w:rFonts w:ascii="Arial" w:hAnsi="Arial" w:cs="Arial"/>
          <w:sz w:val="20"/>
          <w:szCs w:val="20"/>
        </w:rPr>
        <w:t>s v </w:t>
      </w:r>
      <w:r w:rsidR="004B12FC">
        <w:rPr>
          <w:rFonts w:ascii="Arial" w:hAnsi="Arial" w:cs="Arial"/>
          <w:sz w:val="20"/>
          <w:szCs w:val="20"/>
        </w:rPr>
        <w:t>o</w:t>
      </w:r>
      <w:r w:rsidRPr="00E80C68">
        <w:rPr>
          <w:rFonts w:ascii="Arial" w:hAnsi="Arial" w:cs="Arial"/>
          <w:sz w:val="20"/>
          <w:szCs w:val="20"/>
        </w:rPr>
        <w:t>bchodním rejstříku</w:t>
      </w:r>
      <w:r w:rsidR="004B12FC">
        <w:rPr>
          <w:rFonts w:ascii="Arial" w:hAnsi="Arial" w:cs="Arial"/>
          <w:sz w:val="20"/>
          <w:szCs w:val="20"/>
        </w:rPr>
        <w:t>:</w:t>
      </w:r>
      <w:r w:rsidRPr="00E80C68">
        <w:rPr>
          <w:rFonts w:ascii="Arial" w:hAnsi="Arial" w:cs="Arial"/>
          <w:sz w:val="20"/>
          <w:szCs w:val="20"/>
        </w:rPr>
        <w:t xml:space="preserve"> </w:t>
      </w:r>
      <w:r w:rsidR="004B12FC">
        <w:rPr>
          <w:rFonts w:ascii="Arial" w:hAnsi="Arial" w:cs="Arial"/>
          <w:sz w:val="20"/>
          <w:szCs w:val="20"/>
        </w:rPr>
        <w:tab/>
      </w:r>
      <w:r w:rsidRPr="00E80C68">
        <w:rPr>
          <w:rFonts w:ascii="Arial" w:hAnsi="Arial" w:cs="Arial"/>
          <w:sz w:val="20"/>
          <w:szCs w:val="20"/>
        </w:rPr>
        <w:t>Městský soud v Praze, oddíl B, vložka 7328</w:t>
      </w:r>
    </w:p>
    <w:p w14:paraId="2B7A725D" w14:textId="7B3964B4" w:rsidR="00AD7FDB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 w:rsidRPr="004B12FC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Sokolovská 700/</w:t>
      </w:r>
      <w:proofErr w:type="gramStart"/>
      <w:r>
        <w:rPr>
          <w:rFonts w:ascii="Arial" w:hAnsi="Arial" w:cs="Arial"/>
          <w:sz w:val="20"/>
          <w:szCs w:val="20"/>
        </w:rPr>
        <w:t>113a</w:t>
      </w:r>
      <w:proofErr w:type="gramEnd"/>
      <w:r>
        <w:rPr>
          <w:rFonts w:ascii="Arial" w:hAnsi="Arial" w:cs="Arial"/>
          <w:sz w:val="20"/>
          <w:szCs w:val="20"/>
        </w:rPr>
        <w:t>, 186 00 Praha 8, Česká republika</w:t>
      </w:r>
    </w:p>
    <w:p w14:paraId="52A5DB5C" w14:textId="63D94AF8" w:rsidR="004B12FC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 w:rsidRPr="004B12FC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</w:t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26218062 </w:t>
      </w:r>
    </w:p>
    <w:p w14:paraId="1B2368BF" w14:textId="221DF66B" w:rsidR="00AD7FDB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CZ26218062</w:t>
      </w:r>
    </w:p>
    <w:p w14:paraId="711AD8FF" w14:textId="331EEC29" w:rsidR="003B1BA3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 w:rsidRPr="004B12FC">
        <w:rPr>
          <w:rFonts w:ascii="Arial" w:hAnsi="Arial" w:cs="Arial"/>
          <w:sz w:val="20"/>
          <w:szCs w:val="20"/>
        </w:rPr>
        <w:t xml:space="preserve">Email: </w:t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hyperlink r:id="rId11" w:history="1">
        <w:r w:rsidR="004B12FC" w:rsidRPr="004F1328">
          <w:rPr>
            <w:rStyle w:val="Hypertextovodkaz"/>
            <w:rFonts w:ascii="Arial" w:hAnsi="Arial" w:cs="Arial"/>
            <w:sz w:val="20"/>
            <w:szCs w:val="20"/>
          </w:rPr>
          <w:t>depozitar@atlantik.cz</w:t>
        </w:r>
      </w:hyperlink>
    </w:p>
    <w:p w14:paraId="6033A8D2" w14:textId="3C7AE8A3" w:rsidR="00E80C68" w:rsidRDefault="00E80C68" w:rsidP="004B12FC">
      <w:pPr>
        <w:spacing w:before="120" w:after="120"/>
        <w:rPr>
          <w:rFonts w:ascii="Arial" w:hAnsi="Arial" w:cs="Arial"/>
          <w:sz w:val="20"/>
          <w:szCs w:val="20"/>
        </w:rPr>
      </w:pPr>
      <w:r w:rsidRPr="004B12FC">
        <w:rPr>
          <w:rFonts w:ascii="Arial" w:hAnsi="Arial" w:cs="Arial"/>
          <w:sz w:val="20"/>
          <w:szCs w:val="20"/>
        </w:rPr>
        <w:t>Internetová adresa:</w:t>
      </w:r>
      <w:r>
        <w:rPr>
          <w:rFonts w:ascii="Arial" w:hAnsi="Arial" w:cs="Arial"/>
          <w:sz w:val="20"/>
          <w:szCs w:val="20"/>
        </w:rPr>
        <w:t xml:space="preserve"> </w:t>
      </w:r>
      <w:r w:rsidR="004B12FC">
        <w:rPr>
          <w:rFonts w:ascii="Arial" w:hAnsi="Arial" w:cs="Arial"/>
          <w:sz w:val="20"/>
          <w:szCs w:val="20"/>
        </w:rPr>
        <w:tab/>
      </w:r>
      <w:r w:rsidR="004B12FC">
        <w:rPr>
          <w:rFonts w:ascii="Arial" w:hAnsi="Arial" w:cs="Arial"/>
          <w:sz w:val="20"/>
          <w:szCs w:val="20"/>
        </w:rPr>
        <w:tab/>
      </w:r>
      <w:hyperlink r:id="rId12" w:history="1">
        <w:r w:rsidR="004B12FC" w:rsidRPr="004F1328">
          <w:rPr>
            <w:rStyle w:val="Hypertextovodkaz"/>
            <w:rFonts w:ascii="Arial" w:hAnsi="Arial" w:cs="Arial"/>
            <w:sz w:val="20"/>
            <w:szCs w:val="20"/>
          </w:rPr>
          <w:t>www.atlantik.cz</w:t>
        </w:r>
      </w:hyperlink>
    </w:p>
    <w:p w14:paraId="3DB935D0" w14:textId="148B12B5" w:rsidR="00E80C68" w:rsidRDefault="00E80C68" w:rsidP="002F2814">
      <w:pPr>
        <w:spacing w:before="60" w:after="60"/>
        <w:rPr>
          <w:rFonts w:ascii="Arial" w:hAnsi="Arial" w:cs="Arial"/>
          <w:sz w:val="20"/>
          <w:szCs w:val="20"/>
        </w:rPr>
      </w:pPr>
    </w:p>
    <w:p w14:paraId="24686C75" w14:textId="551598B9" w:rsidR="003B1BA3" w:rsidRDefault="00E418F8" w:rsidP="00AD7F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ATLANTIK je obchodník s cennými papíry ve smyslu ZPKT, který je držitelem povolení k poskytování investičních služeb vydaného Českou národní bankou, se sídlem Na Příkopě 28, Praha 1, </w:t>
      </w:r>
      <w:hyperlink r:id="rId13" w:history="1">
        <w:r w:rsidRPr="003B1BA3">
          <w:rPr>
            <w:rStyle w:val="Hypertextovodkaz"/>
            <w:rFonts w:ascii="Arial" w:hAnsi="Arial" w:cs="Arial"/>
            <w:sz w:val="20"/>
            <w:szCs w:val="20"/>
          </w:rPr>
          <w:t>www.cnb.cz</w:t>
        </w:r>
      </w:hyperlink>
    </w:p>
    <w:p w14:paraId="66735409" w14:textId="77777777" w:rsidR="002231DA" w:rsidRPr="00BD0E04" w:rsidRDefault="002231DA" w:rsidP="002231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0E04">
        <w:rPr>
          <w:rFonts w:ascii="Arial" w:hAnsi="Arial" w:cs="Arial"/>
          <w:sz w:val="20"/>
          <w:szCs w:val="20"/>
        </w:rPr>
        <w:t>V roce 2021 došlo k převodu zákazníků Atlantiku do mateřské společnosti J&amp;T BANKA, a.s., IČO: 47115378, se sídlem Sokolovská 700/</w:t>
      </w:r>
      <w:proofErr w:type="gramStart"/>
      <w:r w:rsidRPr="00BD0E04">
        <w:rPr>
          <w:rFonts w:ascii="Arial" w:hAnsi="Arial" w:cs="Arial"/>
          <w:sz w:val="20"/>
          <w:szCs w:val="20"/>
        </w:rPr>
        <w:t>113a</w:t>
      </w:r>
      <w:proofErr w:type="gramEnd"/>
      <w:r w:rsidRPr="00BD0E04">
        <w:rPr>
          <w:rFonts w:ascii="Arial" w:hAnsi="Arial" w:cs="Arial"/>
          <w:sz w:val="20"/>
          <w:szCs w:val="20"/>
        </w:rPr>
        <w:t>, Karlín, Praha 8, PSČ 186 00 (dále jen „</w:t>
      </w:r>
      <w:r w:rsidRPr="00BD0E04">
        <w:rPr>
          <w:rFonts w:ascii="Arial" w:hAnsi="Arial" w:cs="Arial"/>
          <w:b/>
          <w:bCs/>
          <w:sz w:val="20"/>
          <w:szCs w:val="20"/>
        </w:rPr>
        <w:t>J&amp;T Banka</w:t>
      </w:r>
      <w:r w:rsidRPr="00BD0E04">
        <w:rPr>
          <w:rFonts w:ascii="Arial" w:hAnsi="Arial" w:cs="Arial"/>
          <w:sz w:val="20"/>
          <w:szCs w:val="20"/>
        </w:rPr>
        <w:t xml:space="preserve">“). Všechny cenné papíry a finanční prostředky klientů byly od 21. června 2021 převedeny do J&amp;T Banky. </w:t>
      </w:r>
    </w:p>
    <w:p w14:paraId="716BC5CB" w14:textId="74150BEB" w:rsidR="002231DA" w:rsidRPr="003B1BA3" w:rsidRDefault="002231DA" w:rsidP="002231DA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B1BA3">
        <w:rPr>
          <w:rFonts w:ascii="Arial" w:hAnsi="Arial" w:cs="Arial"/>
          <w:b/>
          <w:bCs/>
          <w:sz w:val="20"/>
          <w:szCs w:val="20"/>
        </w:rPr>
        <w:t xml:space="preserve">Atlantik </w:t>
      </w:r>
      <w:r w:rsidR="004B12FC">
        <w:rPr>
          <w:rFonts w:ascii="Arial" w:hAnsi="Arial" w:cs="Arial"/>
          <w:b/>
          <w:bCs/>
          <w:sz w:val="20"/>
          <w:szCs w:val="20"/>
        </w:rPr>
        <w:t xml:space="preserve">v současné době </w:t>
      </w:r>
      <w:r w:rsidRPr="003B1BA3">
        <w:rPr>
          <w:rFonts w:ascii="Arial" w:hAnsi="Arial" w:cs="Arial"/>
          <w:b/>
          <w:bCs/>
          <w:sz w:val="20"/>
          <w:szCs w:val="20"/>
        </w:rPr>
        <w:t xml:space="preserve">zákazníkům poskytuje výhradně služby depozitáře investičního fondu podle </w:t>
      </w:r>
      <w:r w:rsidR="0020610A">
        <w:rPr>
          <w:rFonts w:ascii="Arial" w:hAnsi="Arial" w:cs="Arial"/>
          <w:b/>
          <w:bCs/>
          <w:sz w:val="20"/>
          <w:szCs w:val="20"/>
        </w:rPr>
        <w:t>zákona č. 240/2013 Sb., o investičních společnostech a investičních fondech (dále jen „ZISIF“)</w:t>
      </w:r>
      <w:r w:rsidRPr="003B1BA3">
        <w:rPr>
          <w:rFonts w:ascii="Arial" w:hAnsi="Arial" w:cs="Arial"/>
          <w:b/>
          <w:bCs/>
          <w:sz w:val="20"/>
          <w:szCs w:val="20"/>
        </w:rPr>
        <w:t>, a to (i) standardním fondům kolektivního investování, (</w:t>
      </w:r>
      <w:proofErr w:type="spellStart"/>
      <w:r w:rsidRPr="003B1BA3">
        <w:rPr>
          <w:rFonts w:ascii="Arial" w:hAnsi="Arial" w:cs="Arial"/>
          <w:b/>
          <w:bCs/>
          <w:sz w:val="20"/>
          <w:szCs w:val="20"/>
        </w:rPr>
        <w:t>ii</w:t>
      </w:r>
      <w:proofErr w:type="spellEnd"/>
      <w:r w:rsidRPr="003B1BA3">
        <w:rPr>
          <w:rFonts w:ascii="Arial" w:hAnsi="Arial" w:cs="Arial"/>
          <w:b/>
          <w:bCs/>
          <w:sz w:val="20"/>
          <w:szCs w:val="20"/>
        </w:rPr>
        <w:t>) speciálním fondům kolektivního investování a (</w:t>
      </w:r>
      <w:proofErr w:type="spellStart"/>
      <w:r w:rsidRPr="003B1BA3">
        <w:rPr>
          <w:rFonts w:ascii="Arial" w:hAnsi="Arial" w:cs="Arial"/>
          <w:b/>
          <w:bCs/>
          <w:sz w:val="20"/>
          <w:szCs w:val="20"/>
        </w:rPr>
        <w:t>iii</w:t>
      </w:r>
      <w:proofErr w:type="spellEnd"/>
      <w:r w:rsidRPr="003B1BA3">
        <w:rPr>
          <w:rFonts w:ascii="Arial" w:hAnsi="Arial" w:cs="Arial"/>
          <w:b/>
          <w:bCs/>
          <w:sz w:val="20"/>
          <w:szCs w:val="20"/>
        </w:rPr>
        <w:t>) fondům kvalifikovaných investorů.</w:t>
      </w:r>
    </w:p>
    <w:p w14:paraId="4E8FE57F" w14:textId="77777777" w:rsidR="002231DA" w:rsidRPr="00B9077C" w:rsidRDefault="002231DA" w:rsidP="002231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9077C">
        <w:rPr>
          <w:rFonts w:ascii="Arial" w:hAnsi="Arial" w:cs="Arial"/>
          <w:sz w:val="20"/>
          <w:szCs w:val="20"/>
        </w:rPr>
        <w:t xml:space="preserve">Na webu </w:t>
      </w:r>
      <w:hyperlink r:id="rId14" w:tgtFrame="_blank" w:history="1">
        <w:r w:rsidRPr="00F67304">
          <w:rPr>
            <w:rStyle w:val="Hypertextovodkaz"/>
            <w:rFonts w:ascii="Arial" w:hAnsi="Arial" w:cs="Arial"/>
            <w:sz w:val="20"/>
            <w:szCs w:val="20"/>
          </w:rPr>
          <w:t>HTTP://ATLANTIK.JTBANK.CZ</w:t>
        </w:r>
      </w:hyperlink>
      <w:r w:rsidRPr="00B907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k dispozici podrobné informace o </w:t>
      </w:r>
      <w:r w:rsidRPr="00B9077C">
        <w:rPr>
          <w:rFonts w:ascii="Arial" w:hAnsi="Arial" w:cs="Arial"/>
          <w:sz w:val="20"/>
          <w:szCs w:val="20"/>
        </w:rPr>
        <w:t>převod</w:t>
      </w:r>
      <w:r>
        <w:rPr>
          <w:rFonts w:ascii="Arial" w:hAnsi="Arial" w:cs="Arial"/>
          <w:sz w:val="20"/>
          <w:szCs w:val="20"/>
        </w:rPr>
        <w:t>u</w:t>
      </w:r>
      <w:r w:rsidRPr="00B9077C">
        <w:rPr>
          <w:rFonts w:ascii="Arial" w:hAnsi="Arial" w:cs="Arial"/>
          <w:sz w:val="20"/>
          <w:szCs w:val="20"/>
        </w:rPr>
        <w:t xml:space="preserve"> klientů do J&amp;T Banky</w:t>
      </w:r>
      <w:r>
        <w:rPr>
          <w:rFonts w:ascii="Arial" w:hAnsi="Arial" w:cs="Arial"/>
          <w:sz w:val="20"/>
          <w:szCs w:val="20"/>
        </w:rPr>
        <w:t>,</w:t>
      </w:r>
      <w:r w:rsidRPr="00B9077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</w:t>
      </w:r>
      <w:r w:rsidRPr="00B9077C">
        <w:rPr>
          <w:rFonts w:ascii="Arial" w:hAnsi="Arial" w:cs="Arial"/>
          <w:sz w:val="20"/>
          <w:szCs w:val="20"/>
        </w:rPr>
        <w:t>řípadně lze využít kontaktní linku J&amp;T Banky na tel. +420 800 707 606.</w:t>
      </w:r>
    </w:p>
    <w:p w14:paraId="01641095" w14:textId="1F66BC0B" w:rsidR="002231DA" w:rsidRDefault="002231DA" w:rsidP="002231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Bližší informace o službách depozitáře </w:t>
      </w:r>
      <w:r w:rsidR="003B1BA3">
        <w:rPr>
          <w:rFonts w:ascii="Arial" w:hAnsi="Arial" w:cs="Arial"/>
          <w:sz w:val="20"/>
          <w:szCs w:val="20"/>
        </w:rPr>
        <w:t xml:space="preserve">investičních fondů </w:t>
      </w:r>
      <w:r>
        <w:rPr>
          <w:rFonts w:ascii="Arial" w:hAnsi="Arial" w:cs="Arial"/>
          <w:sz w:val="20"/>
          <w:szCs w:val="20"/>
        </w:rPr>
        <w:t xml:space="preserve">lze poskytnout </w:t>
      </w:r>
      <w:r w:rsidR="00504867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dotazu na </w:t>
      </w:r>
      <w:hyperlink r:id="rId15" w:history="1">
        <w:r w:rsidR="003B1BA3" w:rsidRPr="004F1328">
          <w:rPr>
            <w:rStyle w:val="Hypertextovodkaz"/>
            <w:rFonts w:ascii="Arial" w:hAnsi="Arial" w:cs="Arial"/>
            <w:sz w:val="20"/>
            <w:szCs w:val="20"/>
          </w:rPr>
          <w:t>depozitar@atlantik.cz</w:t>
        </w:r>
      </w:hyperlink>
    </w:p>
    <w:p w14:paraId="4348BA9A" w14:textId="77777777" w:rsidR="004B12FC" w:rsidRDefault="004B12FC" w:rsidP="0020610A">
      <w:pPr>
        <w:spacing w:before="60" w:after="60"/>
        <w:rPr>
          <w:rFonts w:ascii="Arial" w:hAnsi="Arial" w:cs="Arial"/>
          <w:sz w:val="20"/>
          <w:szCs w:val="20"/>
        </w:rPr>
      </w:pPr>
    </w:p>
    <w:p w14:paraId="3659665F" w14:textId="4F2D7ECF" w:rsidR="00E418F8" w:rsidRPr="004B12FC" w:rsidRDefault="00E418F8" w:rsidP="004B12FC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>Komunikace se zákazníkem</w:t>
      </w:r>
    </w:p>
    <w:p w14:paraId="7D62245F" w14:textId="1AECD7D3" w:rsidR="002F2814" w:rsidRDefault="004B12FC" w:rsidP="004B12F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E418F8" w:rsidRPr="00E418F8">
        <w:rPr>
          <w:rFonts w:ascii="Arial" w:hAnsi="Arial" w:cs="Arial"/>
          <w:b/>
          <w:bCs/>
          <w:sz w:val="20"/>
          <w:szCs w:val="20"/>
        </w:rPr>
        <w:t>Jazyk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E418F8" w:rsidRPr="00E418F8">
        <w:rPr>
          <w:rFonts w:ascii="Arial" w:hAnsi="Arial" w:cs="Arial"/>
          <w:sz w:val="20"/>
          <w:szCs w:val="20"/>
        </w:rPr>
        <w:t>Zákazník může pro komunikaci s A</w:t>
      </w:r>
      <w:r w:rsidR="00504867">
        <w:rPr>
          <w:rFonts w:ascii="Arial" w:hAnsi="Arial" w:cs="Arial"/>
          <w:sz w:val="20"/>
          <w:szCs w:val="20"/>
        </w:rPr>
        <w:t>tlantikem</w:t>
      </w:r>
      <w:r w:rsidR="00E418F8" w:rsidRPr="00E418F8">
        <w:rPr>
          <w:rFonts w:ascii="Arial" w:hAnsi="Arial" w:cs="Arial"/>
          <w:sz w:val="20"/>
          <w:szCs w:val="20"/>
        </w:rPr>
        <w:t xml:space="preserve"> používat český jazyk. Na základě dohody s A</w:t>
      </w:r>
      <w:r w:rsidR="00504867">
        <w:rPr>
          <w:rFonts w:ascii="Arial" w:hAnsi="Arial" w:cs="Arial"/>
          <w:sz w:val="20"/>
          <w:szCs w:val="20"/>
        </w:rPr>
        <w:t>tlantikem</w:t>
      </w:r>
      <w:r w:rsidR="00E418F8" w:rsidRPr="00E418F8">
        <w:rPr>
          <w:rFonts w:ascii="Arial" w:hAnsi="Arial" w:cs="Arial"/>
          <w:sz w:val="20"/>
          <w:szCs w:val="20"/>
        </w:rPr>
        <w:t xml:space="preserve"> může zákazník používat anglický jazyk. V uvedených jazycích bude A</w:t>
      </w:r>
      <w:r w:rsidR="00504867">
        <w:rPr>
          <w:rFonts w:ascii="Arial" w:hAnsi="Arial" w:cs="Arial"/>
          <w:sz w:val="20"/>
          <w:szCs w:val="20"/>
        </w:rPr>
        <w:t>tlantik</w:t>
      </w:r>
      <w:r w:rsidR="00E418F8" w:rsidRPr="00E418F8">
        <w:rPr>
          <w:rFonts w:ascii="Arial" w:hAnsi="Arial" w:cs="Arial"/>
          <w:sz w:val="20"/>
          <w:szCs w:val="20"/>
        </w:rPr>
        <w:t xml:space="preserve"> poskytovat zákazníkovi informace.</w:t>
      </w:r>
    </w:p>
    <w:p w14:paraId="2577CCFC" w14:textId="3D162C9F" w:rsidR="00504867" w:rsidRDefault="002F2814" w:rsidP="004B12F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F2814">
        <w:rPr>
          <w:rFonts w:ascii="Arial" w:hAnsi="Arial" w:cs="Arial"/>
          <w:b/>
          <w:bCs/>
          <w:sz w:val="20"/>
          <w:szCs w:val="20"/>
        </w:rPr>
        <w:t>Forma a způsob předávání informací</w:t>
      </w:r>
      <w:r w:rsidR="004B12F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F2814">
        <w:rPr>
          <w:rFonts w:ascii="Arial" w:hAnsi="Arial" w:cs="Arial"/>
          <w:sz w:val="20"/>
          <w:szCs w:val="20"/>
        </w:rPr>
        <w:t>A</w:t>
      </w:r>
      <w:r w:rsidR="00504867">
        <w:rPr>
          <w:rFonts w:ascii="Arial" w:hAnsi="Arial" w:cs="Arial"/>
          <w:sz w:val="20"/>
          <w:szCs w:val="20"/>
        </w:rPr>
        <w:t>tlantik</w:t>
      </w:r>
      <w:r w:rsidRPr="002F2814">
        <w:rPr>
          <w:rFonts w:ascii="Arial" w:hAnsi="Arial" w:cs="Arial"/>
          <w:sz w:val="20"/>
          <w:szCs w:val="20"/>
        </w:rPr>
        <w:t xml:space="preserve"> komunikuje a poskytuje zákazníkovi informace primárně prostřednictvím elektronických komunikačních prostředků (emailová pošta, fax, telefon), případně písemně (poštou) nebo na osobním jednání. Některé informace jsou v souladu s právními předpisy zákazníkovi poskytovány</w:t>
      </w:r>
      <w:r>
        <w:rPr>
          <w:rFonts w:ascii="Arial" w:hAnsi="Arial" w:cs="Arial"/>
          <w:sz w:val="20"/>
          <w:szCs w:val="20"/>
        </w:rPr>
        <w:t xml:space="preserve"> </w:t>
      </w:r>
      <w:r w:rsidRPr="002F2814">
        <w:rPr>
          <w:rFonts w:ascii="Arial" w:hAnsi="Arial" w:cs="Arial"/>
          <w:sz w:val="20"/>
          <w:szCs w:val="20"/>
        </w:rPr>
        <w:t xml:space="preserve">způsobem umožňujícím dálkový přístup (internetová adresa </w:t>
      </w:r>
      <w:hyperlink r:id="rId16" w:history="1">
        <w:r w:rsidR="00504867" w:rsidRPr="004F1328">
          <w:rPr>
            <w:rStyle w:val="Hypertextovodkaz"/>
            <w:rFonts w:ascii="Arial" w:hAnsi="Arial" w:cs="Arial"/>
            <w:sz w:val="20"/>
            <w:szCs w:val="20"/>
          </w:rPr>
          <w:t>www.atlantik.cz</w:t>
        </w:r>
      </w:hyperlink>
      <w:r w:rsidR="00504867">
        <w:rPr>
          <w:rFonts w:ascii="Arial" w:hAnsi="Arial" w:cs="Arial"/>
          <w:sz w:val="20"/>
          <w:szCs w:val="20"/>
        </w:rPr>
        <w:t>).</w:t>
      </w:r>
    </w:p>
    <w:p w14:paraId="7AC9E4E9" w14:textId="3B99411B" w:rsidR="002F2814" w:rsidRPr="002F2814" w:rsidRDefault="002F2814" w:rsidP="002F281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F2814">
        <w:rPr>
          <w:rFonts w:ascii="Arial" w:hAnsi="Arial" w:cs="Arial"/>
          <w:sz w:val="20"/>
          <w:szCs w:val="20"/>
        </w:rPr>
        <w:t xml:space="preserve">Další detailní informace o povaze, četnosti a termínech zasílání informací o poskytnutých službách jsou </w:t>
      </w:r>
      <w:r>
        <w:rPr>
          <w:rFonts w:ascii="Arial" w:hAnsi="Arial" w:cs="Arial"/>
          <w:sz w:val="20"/>
          <w:szCs w:val="20"/>
        </w:rPr>
        <w:t>s</w:t>
      </w:r>
      <w:r w:rsidRPr="002F2814">
        <w:rPr>
          <w:rFonts w:ascii="Arial" w:hAnsi="Arial" w:cs="Arial"/>
          <w:sz w:val="20"/>
          <w:szCs w:val="20"/>
        </w:rPr>
        <w:t>tanoveny v příslušných smluvních ujednáních uzavřených mezi A</w:t>
      </w:r>
      <w:r w:rsidR="00504867">
        <w:rPr>
          <w:rFonts w:ascii="Arial" w:hAnsi="Arial" w:cs="Arial"/>
          <w:sz w:val="20"/>
          <w:szCs w:val="20"/>
        </w:rPr>
        <w:t>tlantikem</w:t>
      </w:r>
      <w:r w:rsidRPr="002F2814">
        <w:rPr>
          <w:rFonts w:ascii="Arial" w:hAnsi="Arial" w:cs="Arial"/>
          <w:sz w:val="20"/>
          <w:szCs w:val="20"/>
        </w:rPr>
        <w:t xml:space="preserve"> a zákazníkem.  </w:t>
      </w:r>
    </w:p>
    <w:p w14:paraId="32E3059E" w14:textId="2A977FE0" w:rsidR="00AD26BF" w:rsidRDefault="00AD26BF" w:rsidP="002F281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D26BF">
        <w:rPr>
          <w:rFonts w:ascii="Arial" w:hAnsi="Arial" w:cs="Arial"/>
          <w:sz w:val="20"/>
          <w:szCs w:val="20"/>
        </w:rPr>
        <w:t>Zákazník může s A</w:t>
      </w:r>
      <w:r w:rsidR="00504867">
        <w:rPr>
          <w:rFonts w:ascii="Arial" w:hAnsi="Arial" w:cs="Arial"/>
          <w:sz w:val="20"/>
          <w:szCs w:val="20"/>
        </w:rPr>
        <w:t>tlantikem</w:t>
      </w:r>
      <w:r w:rsidRPr="00AD26BF">
        <w:rPr>
          <w:rFonts w:ascii="Arial" w:hAnsi="Arial" w:cs="Arial"/>
          <w:sz w:val="20"/>
          <w:szCs w:val="20"/>
        </w:rPr>
        <w:t xml:space="preserve"> komunikovat osobně, písemně nebo prostřednictvím elektronických komunikačních prostředků.</w:t>
      </w:r>
    </w:p>
    <w:p w14:paraId="65CC4D2C" w14:textId="62436705" w:rsidR="00AD1E11" w:rsidRPr="00AD1E11" w:rsidRDefault="00AD26BF" w:rsidP="00AD1E1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D26BF">
        <w:rPr>
          <w:rFonts w:ascii="Arial" w:hAnsi="Arial" w:cs="Arial"/>
          <w:sz w:val="20"/>
          <w:szCs w:val="20"/>
        </w:rPr>
        <w:t>Záznamy komunikace se zákazníkem týkající se poskytnuté investiční služby a záznamy komunikace s potenciálním zákazníkem A</w:t>
      </w:r>
      <w:r w:rsidR="00504867">
        <w:rPr>
          <w:rFonts w:ascii="Arial" w:hAnsi="Arial" w:cs="Arial"/>
          <w:sz w:val="20"/>
          <w:szCs w:val="20"/>
        </w:rPr>
        <w:t>tlantik</w:t>
      </w:r>
      <w:r w:rsidRPr="00AD26BF">
        <w:rPr>
          <w:rFonts w:ascii="Arial" w:hAnsi="Arial" w:cs="Arial"/>
          <w:sz w:val="20"/>
          <w:szCs w:val="20"/>
        </w:rPr>
        <w:t xml:space="preserve"> uchovává nejméně po dobu 5 let od okamžiku poskytnutí investiční služby </w:t>
      </w:r>
      <w:r w:rsidRPr="00AD26BF">
        <w:rPr>
          <w:rFonts w:ascii="Arial" w:hAnsi="Arial" w:cs="Arial"/>
          <w:sz w:val="20"/>
          <w:szCs w:val="20"/>
        </w:rPr>
        <w:lastRenderedPageBreak/>
        <w:t>nebo provedení obchodu. Další podrobnosti o předávání informací a způsobu komunikace mezi zákazníkem a A</w:t>
      </w:r>
      <w:r w:rsidR="00504867">
        <w:rPr>
          <w:rFonts w:ascii="Arial" w:hAnsi="Arial" w:cs="Arial"/>
          <w:sz w:val="20"/>
          <w:szCs w:val="20"/>
        </w:rPr>
        <w:t>tlantikem</w:t>
      </w:r>
      <w:r w:rsidRPr="00AD26BF">
        <w:rPr>
          <w:rFonts w:ascii="Arial" w:hAnsi="Arial" w:cs="Arial"/>
          <w:sz w:val="20"/>
          <w:szCs w:val="20"/>
        </w:rPr>
        <w:t xml:space="preserve"> jsou stanoveny v příslušné smluvní dokumentaci. V případě, že zákazník požaduje poskytování některých informací v písemné podobě, sdělí svůj požadavek A</w:t>
      </w:r>
      <w:r w:rsidR="00504867">
        <w:rPr>
          <w:rFonts w:ascii="Arial" w:hAnsi="Arial" w:cs="Arial"/>
          <w:sz w:val="20"/>
          <w:szCs w:val="20"/>
        </w:rPr>
        <w:t>tlantiku</w:t>
      </w:r>
      <w:r w:rsidRPr="00AD26BF">
        <w:rPr>
          <w:rFonts w:ascii="Arial" w:hAnsi="Arial" w:cs="Arial"/>
          <w:sz w:val="20"/>
          <w:szCs w:val="20"/>
        </w:rPr>
        <w:t>. V případě, že zákazník nepožaduje poskytování informací v písemné podobě, A</w:t>
      </w:r>
      <w:r w:rsidR="00504867">
        <w:rPr>
          <w:rFonts w:ascii="Arial" w:hAnsi="Arial" w:cs="Arial"/>
          <w:sz w:val="20"/>
          <w:szCs w:val="20"/>
        </w:rPr>
        <w:t>tlantik</w:t>
      </w:r>
      <w:r w:rsidRPr="00AD26BF">
        <w:rPr>
          <w:rFonts w:ascii="Arial" w:hAnsi="Arial" w:cs="Arial"/>
          <w:sz w:val="20"/>
          <w:szCs w:val="20"/>
        </w:rPr>
        <w:t xml:space="preserve"> předpokládá, že zákazník souhlasí s poskytováním informací prostřednictvím elektronických komunikačních prostředků</w:t>
      </w:r>
      <w:r w:rsidRPr="00AD1E11">
        <w:rPr>
          <w:rFonts w:ascii="Arial" w:hAnsi="Arial" w:cs="Arial"/>
          <w:sz w:val="20"/>
          <w:szCs w:val="20"/>
        </w:rPr>
        <w:t>.</w:t>
      </w:r>
    </w:p>
    <w:p w14:paraId="6B773083" w14:textId="01E2ADB2" w:rsidR="00AD26BF" w:rsidRPr="00A4206A" w:rsidRDefault="00AD26BF" w:rsidP="0020610A">
      <w:pPr>
        <w:jc w:val="both"/>
        <w:rPr>
          <w:color w:val="010302"/>
        </w:rPr>
      </w:pPr>
    </w:p>
    <w:p w14:paraId="39AC78D9" w14:textId="627393AA" w:rsidR="00AD1E11" w:rsidRPr="004B12FC" w:rsidRDefault="003B1BA3" w:rsidP="00AD1E11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>Služby poskytované</w:t>
      </w:r>
      <w:r w:rsidR="00AD1E11" w:rsidRPr="004B12FC">
        <w:rPr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Pr="004B12FC">
        <w:rPr>
          <w:rFonts w:ascii="Arial" w:hAnsi="Arial" w:cs="Arial"/>
          <w:b/>
          <w:bCs/>
          <w:sz w:val="20"/>
          <w:szCs w:val="20"/>
          <w:u w:val="single"/>
        </w:rPr>
        <w:t>tlantikem</w:t>
      </w:r>
    </w:p>
    <w:p w14:paraId="24A06A88" w14:textId="77777777" w:rsidR="00AD7FDB" w:rsidRDefault="00AD7FDB" w:rsidP="00F67304">
      <w:pPr>
        <w:rPr>
          <w:rFonts w:ascii="Arial" w:hAnsi="Arial" w:cs="Arial"/>
          <w:sz w:val="20"/>
          <w:szCs w:val="20"/>
        </w:rPr>
      </w:pPr>
    </w:p>
    <w:p w14:paraId="11987734" w14:textId="5C6E2E95" w:rsidR="00AD7FDB" w:rsidRPr="00881225" w:rsidRDefault="00AD7FDB" w:rsidP="00881225">
      <w:pPr>
        <w:pStyle w:val="Odstavecseseznamem"/>
        <w:numPr>
          <w:ilvl w:val="0"/>
          <w:numId w:val="20"/>
        </w:numPr>
        <w:spacing w:before="120" w:after="120"/>
        <w:rPr>
          <w:rFonts w:ascii="Arial" w:hAnsi="Arial" w:cs="Arial"/>
          <w:sz w:val="20"/>
          <w:szCs w:val="20"/>
        </w:rPr>
      </w:pPr>
      <w:r w:rsidRPr="00881225">
        <w:rPr>
          <w:rFonts w:ascii="Arial" w:hAnsi="Arial" w:cs="Arial"/>
          <w:sz w:val="20"/>
          <w:szCs w:val="20"/>
        </w:rPr>
        <w:t>A</w:t>
      </w:r>
      <w:r w:rsidR="00504867">
        <w:rPr>
          <w:rFonts w:ascii="Arial" w:hAnsi="Arial" w:cs="Arial"/>
          <w:sz w:val="20"/>
          <w:szCs w:val="20"/>
        </w:rPr>
        <w:t>tlantik</w:t>
      </w:r>
      <w:r w:rsidRPr="00881225">
        <w:rPr>
          <w:rFonts w:ascii="Arial" w:hAnsi="Arial" w:cs="Arial"/>
          <w:sz w:val="20"/>
          <w:szCs w:val="20"/>
        </w:rPr>
        <w:t xml:space="preserve"> je oprávněn poskytovat následující </w:t>
      </w:r>
      <w:r w:rsidR="00504867">
        <w:rPr>
          <w:rFonts w:ascii="Arial" w:hAnsi="Arial" w:cs="Arial"/>
          <w:sz w:val="20"/>
          <w:szCs w:val="20"/>
        </w:rPr>
        <w:t xml:space="preserve">investiční </w:t>
      </w:r>
      <w:r w:rsidRPr="00881225">
        <w:rPr>
          <w:rFonts w:ascii="Arial" w:hAnsi="Arial" w:cs="Arial"/>
          <w:sz w:val="20"/>
          <w:szCs w:val="20"/>
        </w:rPr>
        <w:t>služby</w:t>
      </w:r>
      <w:r w:rsidR="004B12FC">
        <w:rPr>
          <w:rFonts w:ascii="Arial" w:hAnsi="Arial" w:cs="Arial"/>
          <w:sz w:val="20"/>
          <w:szCs w:val="20"/>
        </w:rPr>
        <w:t>.</w:t>
      </w:r>
    </w:p>
    <w:p w14:paraId="76981C54" w14:textId="77777777" w:rsidR="0020610A" w:rsidRDefault="0020610A" w:rsidP="0020610A">
      <w:pPr>
        <w:spacing w:after="120"/>
        <w:rPr>
          <w:rFonts w:ascii="Arial" w:hAnsi="Arial" w:cs="Arial"/>
          <w:sz w:val="20"/>
          <w:szCs w:val="20"/>
        </w:rPr>
      </w:pPr>
    </w:p>
    <w:p w14:paraId="7C04C0D5" w14:textId="06048612" w:rsidR="0020610A" w:rsidRDefault="00AD7FDB" w:rsidP="0020610A">
      <w:pPr>
        <w:spacing w:after="120"/>
        <w:rPr>
          <w:rFonts w:ascii="Arial" w:hAnsi="Arial" w:cs="Arial"/>
          <w:sz w:val="20"/>
          <w:szCs w:val="20"/>
        </w:rPr>
      </w:pPr>
      <w:r w:rsidRPr="002231DA">
        <w:rPr>
          <w:rFonts w:ascii="Arial" w:hAnsi="Arial" w:cs="Arial"/>
          <w:sz w:val="20"/>
          <w:szCs w:val="20"/>
        </w:rPr>
        <w:t>Hlavní investiční služby</w:t>
      </w:r>
      <w:r w:rsidR="004B12FC">
        <w:rPr>
          <w:rFonts w:ascii="Arial" w:hAnsi="Arial" w:cs="Arial"/>
          <w:sz w:val="20"/>
          <w:szCs w:val="20"/>
        </w:rPr>
        <w:t>:</w:t>
      </w:r>
    </w:p>
    <w:p w14:paraId="1AA8DB0C" w14:textId="1807BDB0" w:rsidR="002231DA" w:rsidRPr="002231DA" w:rsidRDefault="00AD7FDB" w:rsidP="0020610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231DA">
        <w:rPr>
          <w:rFonts w:ascii="Arial" w:hAnsi="Arial" w:cs="Arial"/>
          <w:sz w:val="20"/>
          <w:szCs w:val="20"/>
        </w:rPr>
        <w:t>přijímání a předávání pokynů týkajících se investičních nástrojů;</w:t>
      </w:r>
    </w:p>
    <w:p w14:paraId="49D6012C" w14:textId="475172AB" w:rsidR="00AD7FDB" w:rsidRPr="002231DA" w:rsidRDefault="00AD7FDB" w:rsidP="0020610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2231DA">
        <w:rPr>
          <w:rFonts w:ascii="Arial" w:hAnsi="Arial" w:cs="Arial"/>
          <w:sz w:val="20"/>
          <w:szCs w:val="20"/>
        </w:rPr>
        <w:t>provádění pokynů týkajících se investičních nástrojů na účet jiné osoby;</w:t>
      </w:r>
    </w:p>
    <w:p w14:paraId="21847FB6" w14:textId="0B9BAB9C" w:rsidR="00AD7FDB" w:rsidRDefault="00AD7FDB" w:rsidP="0020610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obchodování s investičními nástroji na vlastní účet;</w:t>
      </w:r>
    </w:p>
    <w:p w14:paraId="0FA1E22A" w14:textId="08A28A38" w:rsidR="00AD7FDB" w:rsidRDefault="00AD7FDB" w:rsidP="0020610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upisování nebo umisťování emisí investičních nástrojů</w:t>
      </w:r>
      <w:r w:rsidR="00F70FB3">
        <w:rPr>
          <w:rFonts w:ascii="Arial" w:hAnsi="Arial" w:cs="Arial"/>
          <w:sz w:val="20"/>
          <w:szCs w:val="20"/>
        </w:rPr>
        <w:t>.</w:t>
      </w:r>
    </w:p>
    <w:p w14:paraId="56B16660" w14:textId="77777777" w:rsidR="006862CF" w:rsidRDefault="006862CF" w:rsidP="0020610A">
      <w:pPr>
        <w:rPr>
          <w:rFonts w:ascii="Arial" w:hAnsi="Arial" w:cs="Arial"/>
          <w:sz w:val="20"/>
          <w:szCs w:val="20"/>
        </w:rPr>
      </w:pPr>
    </w:p>
    <w:p w14:paraId="060C2CA5" w14:textId="7161ABCD" w:rsidR="004F7FF7" w:rsidRPr="0020610A" w:rsidRDefault="00F70FB3" w:rsidP="0020610A">
      <w:pPr>
        <w:spacing w:before="120" w:after="120"/>
        <w:rPr>
          <w:rFonts w:ascii="Arial" w:hAnsi="Arial" w:cs="Arial"/>
          <w:sz w:val="20"/>
          <w:szCs w:val="20"/>
        </w:rPr>
      </w:pPr>
      <w:r w:rsidRPr="0020610A">
        <w:rPr>
          <w:rFonts w:ascii="Arial" w:hAnsi="Arial" w:cs="Arial"/>
          <w:sz w:val="20"/>
          <w:szCs w:val="20"/>
        </w:rPr>
        <w:t>Doplňkové investiční služby</w:t>
      </w:r>
      <w:r w:rsidR="004B12FC" w:rsidRPr="0020610A">
        <w:rPr>
          <w:rFonts w:ascii="Arial" w:hAnsi="Arial" w:cs="Arial"/>
          <w:sz w:val="20"/>
          <w:szCs w:val="20"/>
        </w:rPr>
        <w:t>:</w:t>
      </w:r>
    </w:p>
    <w:p w14:paraId="6A1D8A35" w14:textId="5F80040D" w:rsidR="004F7FF7" w:rsidRPr="004F7FF7" w:rsidRDefault="00572374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F7FF7">
        <w:rPr>
          <w:rFonts w:ascii="Arial" w:hAnsi="Arial" w:cs="Arial"/>
          <w:sz w:val="20"/>
          <w:szCs w:val="20"/>
        </w:rPr>
        <w:t xml:space="preserve">úschova a </w:t>
      </w:r>
      <w:r w:rsidR="004020C0" w:rsidRPr="004F7FF7">
        <w:rPr>
          <w:rFonts w:ascii="Arial" w:hAnsi="Arial" w:cs="Arial"/>
          <w:sz w:val="20"/>
          <w:szCs w:val="20"/>
        </w:rPr>
        <w:t>správa investičních nástrojů</w:t>
      </w:r>
      <w:r w:rsidRPr="004F7FF7">
        <w:rPr>
          <w:rFonts w:ascii="Arial" w:hAnsi="Arial" w:cs="Arial"/>
          <w:sz w:val="20"/>
          <w:szCs w:val="20"/>
        </w:rPr>
        <w:t xml:space="preserve"> pro zákazníka, včetně opatrování a souvisejících služeb</w:t>
      </w:r>
      <w:r w:rsidR="004020C0" w:rsidRPr="004F7FF7">
        <w:rPr>
          <w:rFonts w:ascii="Arial" w:hAnsi="Arial" w:cs="Arial"/>
          <w:sz w:val="20"/>
          <w:szCs w:val="20"/>
        </w:rPr>
        <w:t>;</w:t>
      </w:r>
    </w:p>
    <w:p w14:paraId="2703B86D" w14:textId="2692D5B7" w:rsidR="00F70FB3" w:rsidRPr="004F7FF7" w:rsidRDefault="004020C0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F7FF7">
        <w:rPr>
          <w:rFonts w:ascii="Arial" w:hAnsi="Arial" w:cs="Arial"/>
          <w:sz w:val="20"/>
          <w:szCs w:val="20"/>
        </w:rPr>
        <w:t>poskytování úvěru nebo půjčky</w:t>
      </w:r>
      <w:r w:rsidR="00480E1D" w:rsidRPr="004F7FF7">
        <w:rPr>
          <w:rFonts w:ascii="Arial" w:hAnsi="Arial" w:cs="Arial"/>
          <w:sz w:val="20"/>
          <w:szCs w:val="20"/>
        </w:rPr>
        <w:t xml:space="preserve"> zákazníkovi za účelem umožnění obchodu s investičním nástrojem</w:t>
      </w:r>
      <w:r w:rsidR="004F7FF7" w:rsidRPr="004F7FF7">
        <w:rPr>
          <w:rFonts w:ascii="Arial" w:hAnsi="Arial" w:cs="Arial"/>
          <w:sz w:val="20"/>
          <w:szCs w:val="20"/>
        </w:rPr>
        <w:t xml:space="preserve">, </w:t>
      </w:r>
      <w:r w:rsidR="00480E1D" w:rsidRPr="004F7FF7">
        <w:rPr>
          <w:rFonts w:ascii="Arial" w:hAnsi="Arial" w:cs="Arial"/>
          <w:sz w:val="20"/>
          <w:szCs w:val="20"/>
        </w:rPr>
        <w:t>na němž se poskytovatel úvěru nebo půjčky podílí;</w:t>
      </w:r>
    </w:p>
    <w:p w14:paraId="04B8A940" w14:textId="37F9013C" w:rsidR="00480E1D" w:rsidRPr="00572374" w:rsidRDefault="00C76301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72374">
        <w:rPr>
          <w:rFonts w:ascii="Arial" w:hAnsi="Arial" w:cs="Arial"/>
          <w:sz w:val="20"/>
          <w:szCs w:val="20"/>
        </w:rPr>
        <w:t>poradenská činnost týkající se struktury kapitálu, průmyslové strategie a s tím souvisejících otázek, jakož i poskytování porad a služeb týkajících se přeměn společností nebo převodů podniků;</w:t>
      </w:r>
    </w:p>
    <w:p w14:paraId="66B13A41" w14:textId="7DA9ADA2" w:rsidR="00C76301" w:rsidRPr="00572374" w:rsidRDefault="00C76301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72374">
        <w:rPr>
          <w:rFonts w:ascii="Arial" w:hAnsi="Arial" w:cs="Arial"/>
          <w:sz w:val="20"/>
          <w:szCs w:val="20"/>
        </w:rPr>
        <w:t>p</w:t>
      </w:r>
      <w:r w:rsidR="00572374" w:rsidRPr="00572374">
        <w:rPr>
          <w:rFonts w:ascii="Arial" w:hAnsi="Arial" w:cs="Arial"/>
          <w:sz w:val="20"/>
          <w:szCs w:val="20"/>
        </w:rPr>
        <w:t xml:space="preserve">oskytování investičních doporučení a analýz investičních příležitostí nebo podobných obecných </w:t>
      </w:r>
      <w:r w:rsidR="004F7FF7">
        <w:rPr>
          <w:rFonts w:ascii="Arial" w:hAnsi="Arial" w:cs="Arial"/>
          <w:sz w:val="20"/>
          <w:szCs w:val="20"/>
        </w:rPr>
        <w:t>d</w:t>
      </w:r>
      <w:r w:rsidR="00572374" w:rsidRPr="00572374">
        <w:rPr>
          <w:rFonts w:ascii="Arial" w:hAnsi="Arial" w:cs="Arial"/>
          <w:sz w:val="20"/>
          <w:szCs w:val="20"/>
        </w:rPr>
        <w:t>oporučení týkajících se obchodování s investičními nástroji</w:t>
      </w:r>
      <w:r w:rsidRPr="00572374">
        <w:rPr>
          <w:rFonts w:ascii="Arial" w:hAnsi="Arial" w:cs="Arial"/>
          <w:sz w:val="20"/>
          <w:szCs w:val="20"/>
        </w:rPr>
        <w:t>;</w:t>
      </w:r>
    </w:p>
    <w:p w14:paraId="372D037F" w14:textId="07C80831" w:rsidR="00C76301" w:rsidRPr="00572374" w:rsidRDefault="00C76301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72374">
        <w:rPr>
          <w:rFonts w:ascii="Arial" w:hAnsi="Arial" w:cs="Arial"/>
          <w:sz w:val="20"/>
          <w:szCs w:val="20"/>
        </w:rPr>
        <w:t>devizov</w:t>
      </w:r>
      <w:r w:rsidR="00572374" w:rsidRPr="00572374">
        <w:rPr>
          <w:rFonts w:ascii="Arial" w:hAnsi="Arial" w:cs="Arial"/>
          <w:sz w:val="20"/>
          <w:szCs w:val="20"/>
        </w:rPr>
        <w:t>é</w:t>
      </w:r>
      <w:r w:rsidRPr="00572374">
        <w:rPr>
          <w:rFonts w:ascii="Arial" w:hAnsi="Arial" w:cs="Arial"/>
          <w:sz w:val="20"/>
          <w:szCs w:val="20"/>
        </w:rPr>
        <w:t xml:space="preserve"> </w:t>
      </w:r>
      <w:r w:rsidR="00572374" w:rsidRPr="00572374">
        <w:rPr>
          <w:rFonts w:ascii="Arial" w:hAnsi="Arial" w:cs="Arial"/>
          <w:sz w:val="20"/>
          <w:szCs w:val="20"/>
        </w:rPr>
        <w:t>služby</w:t>
      </w:r>
      <w:r w:rsidRPr="00572374">
        <w:rPr>
          <w:rFonts w:ascii="Arial" w:hAnsi="Arial" w:cs="Arial"/>
          <w:sz w:val="20"/>
          <w:szCs w:val="20"/>
        </w:rPr>
        <w:t xml:space="preserve"> související s poskytováním investičních služeb;</w:t>
      </w:r>
    </w:p>
    <w:p w14:paraId="278D83FE" w14:textId="56F2FAB8" w:rsidR="00C76301" w:rsidRPr="00572374" w:rsidRDefault="00C76301" w:rsidP="0020610A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72374">
        <w:rPr>
          <w:rFonts w:ascii="Arial" w:hAnsi="Arial" w:cs="Arial"/>
          <w:sz w:val="20"/>
          <w:szCs w:val="20"/>
        </w:rPr>
        <w:t>služby související s upisováním emisí investičních nástrojů.</w:t>
      </w:r>
    </w:p>
    <w:p w14:paraId="273A22D4" w14:textId="3F89894E" w:rsidR="00881225" w:rsidRDefault="00881225" w:rsidP="00AD7FDB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služby může Atlantik poskytovat ve vztahu k investičním nástrojům podle § 3 odst. 1 písm. a), b), c) a d) ZPKT.</w:t>
      </w:r>
    </w:p>
    <w:p w14:paraId="1A655B64" w14:textId="77777777" w:rsidR="0020610A" w:rsidRDefault="0020610A" w:rsidP="00AD7FDB">
      <w:pPr>
        <w:spacing w:before="120" w:after="120"/>
        <w:rPr>
          <w:rFonts w:ascii="Arial" w:hAnsi="Arial" w:cs="Arial"/>
          <w:sz w:val="20"/>
          <w:szCs w:val="20"/>
        </w:rPr>
      </w:pPr>
    </w:p>
    <w:p w14:paraId="7538818D" w14:textId="51531EA7" w:rsidR="00AD7FDB" w:rsidRPr="00881225" w:rsidRDefault="00881225" w:rsidP="00881225">
      <w:pPr>
        <w:pStyle w:val="Odstavecseseznamem"/>
        <w:numPr>
          <w:ilvl w:val="0"/>
          <w:numId w:val="20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Atlantik je </w:t>
      </w:r>
      <w:r w:rsidR="0020610A">
        <w:rPr>
          <w:rFonts w:ascii="Arial" w:hAnsi="Arial" w:cs="Arial"/>
          <w:sz w:val="20"/>
          <w:szCs w:val="20"/>
        </w:rPr>
        <w:t>také</w:t>
      </w:r>
      <w:r w:rsidR="00377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oprávněn vykonávat činnost depozitáře investičního fondu podle </w:t>
      </w:r>
      <w:r w:rsidR="0020610A">
        <w:rPr>
          <w:rFonts w:ascii="Arial" w:hAnsi="Arial" w:cs="Arial"/>
          <w:sz w:val="20"/>
          <w:szCs w:val="20"/>
        </w:rPr>
        <w:t>ZISIF.</w:t>
      </w:r>
      <w:r>
        <w:rPr>
          <w:rFonts w:ascii="Arial" w:hAnsi="Arial" w:cs="Arial"/>
          <w:sz w:val="20"/>
          <w:szCs w:val="20"/>
        </w:rPr>
        <w:t xml:space="preserve"> </w:t>
      </w:r>
      <w:r w:rsidRPr="00881225">
        <w:rPr>
          <w:rFonts w:ascii="Arial" w:hAnsi="Arial" w:cs="Arial"/>
          <w:sz w:val="20"/>
          <w:szCs w:val="20"/>
        </w:rPr>
        <w:t xml:space="preserve"> </w:t>
      </w:r>
    </w:p>
    <w:p w14:paraId="053C5C63" w14:textId="77777777" w:rsidR="0020610A" w:rsidRDefault="0020610A" w:rsidP="00B9077C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FC00135" w14:textId="3D6FCDF1" w:rsidR="00EE6633" w:rsidRPr="002231DA" w:rsidRDefault="002231DA" w:rsidP="00B9077C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231DA">
        <w:rPr>
          <w:rFonts w:ascii="Arial" w:hAnsi="Arial" w:cs="Arial"/>
          <w:b/>
          <w:bCs/>
          <w:sz w:val="20"/>
          <w:szCs w:val="20"/>
        </w:rPr>
        <w:t xml:space="preserve">V současné době Atlantik zákazníkům poskytuje </w:t>
      </w:r>
      <w:r w:rsidR="00504867">
        <w:rPr>
          <w:rFonts w:ascii="Arial" w:hAnsi="Arial" w:cs="Arial"/>
          <w:b/>
          <w:bCs/>
          <w:sz w:val="20"/>
          <w:szCs w:val="20"/>
        </w:rPr>
        <w:t xml:space="preserve">svým zákazníkům </w:t>
      </w:r>
      <w:r w:rsidRPr="002231DA">
        <w:rPr>
          <w:rFonts w:ascii="Arial" w:hAnsi="Arial" w:cs="Arial"/>
          <w:b/>
          <w:bCs/>
          <w:sz w:val="20"/>
          <w:szCs w:val="20"/>
        </w:rPr>
        <w:t>výhradně služby depozitáře investičního fondu podle bodu b)</w:t>
      </w:r>
      <w:r>
        <w:rPr>
          <w:rFonts w:ascii="Arial" w:hAnsi="Arial" w:cs="Arial"/>
          <w:b/>
          <w:bCs/>
          <w:sz w:val="20"/>
          <w:szCs w:val="20"/>
        </w:rPr>
        <w:t xml:space="preserve"> výše</w:t>
      </w:r>
      <w:r w:rsidRPr="002231DA">
        <w:rPr>
          <w:rFonts w:ascii="Arial" w:hAnsi="Arial" w:cs="Arial"/>
          <w:b/>
          <w:bCs/>
          <w:sz w:val="20"/>
          <w:szCs w:val="20"/>
        </w:rPr>
        <w:t>.</w:t>
      </w:r>
    </w:p>
    <w:p w14:paraId="086E3703" w14:textId="77777777" w:rsidR="00EE6633" w:rsidRDefault="00EE6633" w:rsidP="00EE6633">
      <w:pPr>
        <w:spacing w:before="60" w:after="60"/>
        <w:rPr>
          <w:rFonts w:ascii="Arial" w:hAnsi="Arial" w:cs="Arial"/>
          <w:sz w:val="20"/>
          <w:szCs w:val="20"/>
        </w:rPr>
      </w:pPr>
    </w:p>
    <w:p w14:paraId="37138C0B" w14:textId="77777777" w:rsidR="008F5A39" w:rsidRPr="004B12FC" w:rsidRDefault="00EE6633" w:rsidP="008F5A39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 xml:space="preserve">Ceny </w:t>
      </w:r>
      <w:proofErr w:type="spellStart"/>
      <w:r w:rsidRPr="004B12FC">
        <w:rPr>
          <w:rFonts w:ascii="Arial" w:hAnsi="Arial" w:cs="Arial"/>
          <w:b/>
          <w:bCs/>
          <w:sz w:val="20"/>
          <w:szCs w:val="20"/>
          <w:u w:val="single"/>
        </w:rPr>
        <w:t>depozitářských</w:t>
      </w:r>
      <w:proofErr w:type="spellEnd"/>
      <w:r w:rsidRPr="004B12FC">
        <w:rPr>
          <w:rFonts w:ascii="Arial" w:hAnsi="Arial" w:cs="Arial"/>
          <w:b/>
          <w:bCs/>
          <w:sz w:val="20"/>
          <w:szCs w:val="20"/>
          <w:u w:val="single"/>
        </w:rPr>
        <w:t xml:space="preserve"> služeb</w:t>
      </w:r>
    </w:p>
    <w:p w14:paraId="5B34C205" w14:textId="77777777" w:rsidR="008F5A39" w:rsidRDefault="008F5A39" w:rsidP="008F5A39">
      <w:pPr>
        <w:spacing w:before="60" w:after="60"/>
        <w:rPr>
          <w:rFonts w:ascii="Arial" w:hAnsi="Arial" w:cs="Arial"/>
          <w:sz w:val="20"/>
          <w:szCs w:val="20"/>
        </w:rPr>
      </w:pPr>
    </w:p>
    <w:p w14:paraId="7786F8AF" w14:textId="79401602" w:rsidR="002F2814" w:rsidRDefault="008F5A39" w:rsidP="00204913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za </w:t>
      </w:r>
      <w:proofErr w:type="spellStart"/>
      <w:r>
        <w:rPr>
          <w:rFonts w:ascii="Arial" w:hAnsi="Arial" w:cs="Arial"/>
          <w:sz w:val="20"/>
          <w:szCs w:val="20"/>
        </w:rPr>
        <w:t>depozitářské</w:t>
      </w:r>
      <w:proofErr w:type="spellEnd"/>
      <w:r>
        <w:rPr>
          <w:rFonts w:ascii="Arial" w:hAnsi="Arial" w:cs="Arial"/>
          <w:sz w:val="20"/>
          <w:szCs w:val="20"/>
        </w:rPr>
        <w:t xml:space="preserve"> služby jsou stanovovány vždy individuálně ve vztahu ke konkrétnímu </w:t>
      </w:r>
      <w:r w:rsidR="00504867">
        <w:rPr>
          <w:rFonts w:ascii="Arial" w:hAnsi="Arial" w:cs="Arial"/>
          <w:sz w:val="20"/>
          <w:szCs w:val="20"/>
        </w:rPr>
        <w:t xml:space="preserve">investičnímu </w:t>
      </w:r>
      <w:r>
        <w:rPr>
          <w:rFonts w:ascii="Arial" w:hAnsi="Arial" w:cs="Arial"/>
          <w:sz w:val="20"/>
          <w:szCs w:val="20"/>
        </w:rPr>
        <w:t xml:space="preserve">fondu a jsou součástí ujednání příslušné </w:t>
      </w:r>
      <w:proofErr w:type="spellStart"/>
      <w:r>
        <w:rPr>
          <w:rFonts w:ascii="Arial" w:hAnsi="Arial" w:cs="Arial"/>
          <w:sz w:val="20"/>
          <w:szCs w:val="20"/>
        </w:rPr>
        <w:t>depozitářské</w:t>
      </w:r>
      <w:proofErr w:type="spellEnd"/>
      <w:r>
        <w:rPr>
          <w:rFonts w:ascii="Arial" w:hAnsi="Arial" w:cs="Arial"/>
          <w:sz w:val="20"/>
          <w:szCs w:val="20"/>
        </w:rPr>
        <w:t xml:space="preserve"> smlouvy (smlouva o výkonu činnosti depozitáře investičních fondů podle ZISIF).</w:t>
      </w:r>
      <w:r w:rsidR="002F2814" w:rsidRPr="008F5A39">
        <w:rPr>
          <w:rFonts w:ascii="Arial" w:hAnsi="Arial" w:cs="Arial"/>
          <w:sz w:val="20"/>
          <w:szCs w:val="20"/>
        </w:rPr>
        <w:t xml:space="preserve">   </w:t>
      </w:r>
    </w:p>
    <w:p w14:paraId="2511D002" w14:textId="77777777" w:rsidR="003777AE" w:rsidRPr="008F5A39" w:rsidRDefault="003777AE" w:rsidP="008F5A39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440ECF7E" w14:textId="529AA70B" w:rsidR="00881225" w:rsidRPr="004B12FC" w:rsidRDefault="003777AE" w:rsidP="003777AE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>Střet zájmů</w:t>
      </w:r>
    </w:p>
    <w:p w14:paraId="77307629" w14:textId="2DA7B7B5" w:rsidR="00204913" w:rsidRPr="00204913" w:rsidRDefault="00204913" w:rsidP="00BD0E04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BD0E04">
        <w:rPr>
          <w:rFonts w:ascii="Arial" w:hAnsi="Arial" w:cs="Arial"/>
          <w:color w:val="000000"/>
          <w:sz w:val="20"/>
          <w:szCs w:val="20"/>
        </w:rPr>
        <w:t>Atlantik v souladu s příslušnými ustanoveními ZPKT vydává pravidla pro předcházení, zjišťování a řízení střetu zájmů (dále jen „</w:t>
      </w:r>
      <w:r w:rsidRPr="00BD0E04">
        <w:rPr>
          <w:rFonts w:ascii="Arial" w:hAnsi="Arial" w:cs="Arial"/>
          <w:b/>
          <w:bCs/>
          <w:color w:val="000000"/>
          <w:sz w:val="20"/>
          <w:szCs w:val="20"/>
        </w:rPr>
        <w:t>Politika střetu zájmů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“). Cílem Politiky střetu zájmů je při poskytování služeb efektivně zjišťovat a řídit střety zájmů, aby v jejich důsledku nedocházelo k poškozování zájmů zákazníků. </w:t>
      </w:r>
    </w:p>
    <w:p w14:paraId="61ACAD2F" w14:textId="496EB2A8" w:rsidR="00204913" w:rsidRDefault="00204913" w:rsidP="0020491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04913">
        <w:rPr>
          <w:rFonts w:ascii="Arial" w:hAnsi="Arial" w:cs="Arial"/>
          <w:color w:val="000000"/>
          <w:sz w:val="20"/>
          <w:szCs w:val="20"/>
        </w:rPr>
        <w:t>Politika střetu zájmů obsahuje pravidla pro zjišťování a řízení střetu zájmů mezi:</w:t>
      </w:r>
    </w:p>
    <w:p w14:paraId="4C1E8C30" w14:textId="15F47734" w:rsidR="00204913" w:rsidRPr="002907C8" w:rsidRDefault="002907C8" w:rsidP="002907C8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 w:rsidR="00204913" w:rsidRPr="00204913">
        <w:rPr>
          <w:rFonts w:ascii="Arial" w:hAnsi="Arial" w:cs="Arial"/>
          <w:color w:val="000000"/>
          <w:sz w:val="20"/>
          <w:szCs w:val="20"/>
        </w:rPr>
        <w:t>A</w:t>
      </w:r>
      <w:r w:rsidR="00204913">
        <w:rPr>
          <w:rFonts w:ascii="Arial" w:hAnsi="Arial" w:cs="Arial"/>
          <w:color w:val="000000"/>
          <w:sz w:val="20"/>
          <w:szCs w:val="20"/>
        </w:rPr>
        <w:t>tlantik</w:t>
      </w:r>
      <w:r>
        <w:rPr>
          <w:rFonts w:ascii="Arial" w:hAnsi="Arial" w:cs="Arial"/>
          <w:color w:val="000000"/>
          <w:sz w:val="20"/>
          <w:szCs w:val="20"/>
        </w:rPr>
        <w:t>em</w:t>
      </w:r>
      <w:r w:rsidR="00204913" w:rsidRPr="00204913">
        <w:rPr>
          <w:rFonts w:ascii="Arial" w:hAnsi="Arial" w:cs="Arial"/>
          <w:color w:val="000000"/>
          <w:sz w:val="20"/>
          <w:szCs w:val="20"/>
        </w:rPr>
        <w:t>, jeho vedoucími osobami, vázanými zástupci a jeho zaměstnanci a zákazníky A</w:t>
      </w:r>
      <w:r w:rsidR="00204913">
        <w:rPr>
          <w:rFonts w:ascii="Arial" w:hAnsi="Arial" w:cs="Arial"/>
          <w:color w:val="000000"/>
          <w:sz w:val="20"/>
          <w:szCs w:val="20"/>
        </w:rPr>
        <w:t>tlantik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204913" w:rsidRPr="00204913">
        <w:rPr>
          <w:rFonts w:ascii="Arial" w:hAnsi="Arial" w:cs="Arial"/>
          <w:color w:val="000000"/>
          <w:sz w:val="20"/>
          <w:szCs w:val="20"/>
        </w:rPr>
        <w:t xml:space="preserve"> nebo</w:t>
      </w:r>
      <w:r w:rsidR="00204913">
        <w:rPr>
          <w:rFonts w:ascii="Arial" w:hAnsi="Arial" w:cs="Arial"/>
          <w:color w:val="000000"/>
          <w:sz w:val="20"/>
          <w:szCs w:val="20"/>
        </w:rPr>
        <w:t xml:space="preserve"> </w:t>
      </w:r>
      <w:r w:rsidR="00204913" w:rsidRPr="00204913">
        <w:rPr>
          <w:rFonts w:ascii="Arial" w:hAnsi="Arial" w:cs="Arial"/>
          <w:color w:val="000000"/>
          <w:sz w:val="20"/>
          <w:szCs w:val="20"/>
        </w:rPr>
        <w:t>jeho potenciálními zákazníky;</w:t>
      </w:r>
      <w:r w:rsidR="00204913" w:rsidRPr="002907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E0D168" w14:textId="478597D3" w:rsidR="00204913" w:rsidRPr="00204913" w:rsidRDefault="00204913" w:rsidP="0020491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04913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>osobou, která ovládá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204913">
        <w:rPr>
          <w:rFonts w:ascii="Arial" w:hAnsi="Arial" w:cs="Arial"/>
          <w:color w:val="000000"/>
          <w:sz w:val="20"/>
          <w:szCs w:val="20"/>
        </w:rPr>
        <w:t>, je ovládána A</w:t>
      </w:r>
      <w:r>
        <w:rPr>
          <w:rFonts w:ascii="Arial" w:hAnsi="Arial" w:cs="Arial"/>
          <w:color w:val="000000"/>
          <w:sz w:val="20"/>
          <w:szCs w:val="20"/>
        </w:rPr>
        <w:t>tlantikem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nebo osobou ovládanou stejnou osobou jako Atlantik a jejich vedoucími osobami a zákazníky Atlantik</w:t>
      </w:r>
      <w:r w:rsidR="002907C8">
        <w:rPr>
          <w:rFonts w:ascii="Arial" w:hAnsi="Arial" w:cs="Arial"/>
          <w:color w:val="000000"/>
          <w:sz w:val="20"/>
          <w:szCs w:val="20"/>
        </w:rPr>
        <w:t>u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nebo jeho potenciálními zákazníky; </w:t>
      </w:r>
    </w:p>
    <w:p w14:paraId="651D2D6C" w14:textId="10CD0702" w:rsidR="00204913" w:rsidRPr="00204913" w:rsidRDefault="00204913" w:rsidP="006862CF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04913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>zákazníky nebo potenciálními zákazníky 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navzájem</w:t>
      </w:r>
      <w:r w:rsidR="006862CF">
        <w:rPr>
          <w:rFonts w:ascii="Arial" w:hAnsi="Arial" w:cs="Arial"/>
          <w:color w:val="000000"/>
          <w:sz w:val="20"/>
          <w:szCs w:val="20"/>
        </w:rPr>
        <w:t>.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647B54" w14:textId="4D961D80" w:rsidR="00204913" w:rsidRPr="00BD0E04" w:rsidRDefault="00204913" w:rsidP="00BD0E04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04913">
        <w:rPr>
          <w:rFonts w:ascii="Arial" w:hAnsi="Arial" w:cs="Arial"/>
          <w:color w:val="000000"/>
          <w:sz w:val="20"/>
          <w:szCs w:val="20"/>
        </w:rPr>
        <w:t>Pokud střet zájmů nelze odvrátit, A</w:t>
      </w:r>
      <w:r w:rsidR="002907C8">
        <w:rPr>
          <w:rFonts w:ascii="Arial" w:hAnsi="Arial" w:cs="Arial"/>
          <w:color w:val="000000"/>
          <w:sz w:val="20"/>
          <w:szCs w:val="20"/>
        </w:rPr>
        <w:t>tlantik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v takové situaci jedná spravedlivě a v nejlepším zájmu zákazníka,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přičemž upřednostňuje zájmy zákazníka před zájmy vlastními nebo zájmy osob, které </w:t>
      </w:r>
      <w:proofErr w:type="gramStart"/>
      <w:r w:rsidRPr="00204913">
        <w:rPr>
          <w:rFonts w:ascii="Arial" w:hAnsi="Arial" w:cs="Arial"/>
          <w:color w:val="000000"/>
          <w:sz w:val="20"/>
          <w:szCs w:val="20"/>
        </w:rPr>
        <w:t>tvoří</w:t>
      </w:r>
      <w:proofErr w:type="gramEnd"/>
      <w:r w:rsidRPr="00204913">
        <w:rPr>
          <w:rFonts w:ascii="Arial" w:hAnsi="Arial" w:cs="Arial"/>
          <w:color w:val="000000"/>
          <w:sz w:val="20"/>
          <w:szCs w:val="20"/>
        </w:rPr>
        <w:t xml:space="preserve"> s</w:t>
      </w:r>
      <w:r w:rsidR="002907C8">
        <w:rPr>
          <w:rFonts w:ascii="Arial" w:hAnsi="Arial" w:cs="Arial"/>
          <w:color w:val="000000"/>
          <w:sz w:val="20"/>
          <w:szCs w:val="20"/>
        </w:rPr>
        <w:t> </w:t>
      </w:r>
      <w:r w:rsidRPr="00204913">
        <w:rPr>
          <w:rFonts w:ascii="Arial" w:hAnsi="Arial" w:cs="Arial"/>
          <w:color w:val="000000"/>
          <w:sz w:val="20"/>
          <w:szCs w:val="20"/>
        </w:rPr>
        <w:t>A</w:t>
      </w:r>
      <w:r w:rsidR="002907C8">
        <w:rPr>
          <w:rFonts w:ascii="Arial" w:hAnsi="Arial" w:cs="Arial"/>
          <w:color w:val="000000"/>
          <w:sz w:val="20"/>
          <w:szCs w:val="20"/>
        </w:rPr>
        <w:t>tlantikem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>podnikatelské seskupení. Pokud dojde ke střetu zájmu mezi zákazníky navzájem, zajistí A</w:t>
      </w:r>
      <w:r w:rsidR="002907C8">
        <w:rPr>
          <w:rFonts w:ascii="Arial" w:hAnsi="Arial" w:cs="Arial"/>
          <w:color w:val="000000"/>
          <w:sz w:val="20"/>
          <w:szCs w:val="20"/>
        </w:rPr>
        <w:t>tlantik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spravedlivé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>řešení pro tyto zákazníky. V p</w:t>
      </w:r>
      <w:r w:rsidRPr="00BD0E04">
        <w:rPr>
          <w:rFonts w:ascii="Arial" w:hAnsi="Arial" w:cs="Arial"/>
          <w:color w:val="000000"/>
          <w:sz w:val="20"/>
          <w:szCs w:val="20"/>
        </w:rPr>
        <w:t>ř</w:t>
      </w:r>
      <w:r w:rsidRPr="00204913">
        <w:rPr>
          <w:rFonts w:ascii="Arial" w:hAnsi="Arial" w:cs="Arial"/>
          <w:color w:val="000000"/>
          <w:sz w:val="20"/>
          <w:szCs w:val="20"/>
        </w:rPr>
        <w:t>ípadě, že spravedlivé řešení nelze zajistit, může A</w:t>
      </w:r>
      <w:r w:rsidR="002907C8">
        <w:rPr>
          <w:rFonts w:ascii="Arial" w:hAnsi="Arial" w:cs="Arial"/>
          <w:color w:val="000000"/>
          <w:sz w:val="20"/>
          <w:szCs w:val="20"/>
        </w:rPr>
        <w:t>tlantik</w:t>
      </w:r>
      <w:r w:rsidRPr="00204913">
        <w:rPr>
          <w:rFonts w:ascii="Arial" w:hAnsi="Arial" w:cs="Arial"/>
          <w:color w:val="000000"/>
          <w:sz w:val="20"/>
          <w:szCs w:val="20"/>
        </w:rPr>
        <w:t xml:space="preserve"> odmítnout provedení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13">
        <w:rPr>
          <w:rFonts w:ascii="Arial" w:hAnsi="Arial" w:cs="Arial"/>
          <w:color w:val="000000"/>
          <w:sz w:val="20"/>
          <w:szCs w:val="20"/>
        </w:rPr>
        <w:t>služby zákazníkovi.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B0CB24" w14:textId="48CA4466" w:rsidR="00A75183" w:rsidRPr="00A75183" w:rsidRDefault="00A75183" w:rsidP="00F67304">
      <w:pPr>
        <w:tabs>
          <w:tab w:val="left" w:pos="1115"/>
        </w:tabs>
        <w:spacing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>Při zjišťování a posuzování střetu zájmů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 bere v úvahu, zda ona sama nebo osoba uvedená v druhé  odrážce výše nebo osoba se zvláštním vztahem k</w:t>
      </w:r>
      <w:r w:rsidR="00504867">
        <w:rPr>
          <w:rFonts w:ascii="Arial" w:hAnsi="Arial" w:cs="Arial"/>
          <w:color w:val="000000"/>
          <w:sz w:val="20"/>
          <w:szCs w:val="20"/>
        </w:rPr>
        <w:t> </w:t>
      </w:r>
      <w:r w:rsidRPr="00A75183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="00504867">
        <w:rPr>
          <w:rFonts w:ascii="Arial" w:hAnsi="Arial" w:cs="Arial"/>
          <w:color w:val="000000"/>
          <w:sz w:val="20"/>
          <w:szCs w:val="20"/>
        </w:rPr>
        <w:t>,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 může získat finanční prospěch nebo se vyhnout  finanční ztrátě na úkor zákazníka; má odlišný zájem na výsledku služby poskytované zákazníkovi nebo na výsledku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obchodu prováděného jménem zákazníka od zájmu tohoto zákazníka; má motivaci upřednostnit zájem zákazníka  před zájmy jiného zákazníka; podniká ve stejném oboru jako zákazník; dostává nebo dostane od jiné osoby, než je  zákazník, pobídku v souvislosti se službou zákazníkovi, a tato pobídka nepředstavuje obvyklou úplatu za  poskytovanou službu.  </w:t>
      </w:r>
    </w:p>
    <w:p w14:paraId="1214E6B1" w14:textId="06051D58" w:rsidR="00204913" w:rsidRPr="00F67304" w:rsidRDefault="00204913" w:rsidP="00F67304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58A1E75D" w14:textId="30FB4FE3" w:rsidR="00A75183" w:rsidRPr="00BD0E04" w:rsidRDefault="00A75183" w:rsidP="00F67304">
      <w:pPr>
        <w:tabs>
          <w:tab w:val="left" w:pos="1115"/>
        </w:tabs>
        <w:spacing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D0E04">
        <w:rPr>
          <w:rFonts w:ascii="Arial" w:hAnsi="Arial" w:cs="Arial"/>
          <w:b/>
          <w:bCs/>
          <w:color w:val="000000"/>
          <w:sz w:val="20"/>
          <w:szCs w:val="20"/>
        </w:rPr>
        <w:t>Opatření pro zjištění a řízení střetu zájmů.</w:t>
      </w:r>
      <w:r w:rsidRP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183">
        <w:rPr>
          <w:rFonts w:ascii="Arial" w:hAnsi="Arial" w:cs="Arial"/>
          <w:color w:val="000000"/>
          <w:sz w:val="20"/>
          <w:szCs w:val="20"/>
        </w:rPr>
        <w:t>V rámci efektivního řízení střetu zájmů Atlantik:</w:t>
      </w:r>
    </w:p>
    <w:p w14:paraId="15DE5C66" w14:textId="01271278" w:rsidR="00A75183" w:rsidRPr="00A75183" w:rsidRDefault="00A75183" w:rsidP="00BD0E04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 xml:space="preserve">- má nastavenou takovou organizační strukturu Atlantiku a celého podnikatelského seskupení, jehož je součástí, </w:t>
      </w:r>
      <w:r w:rsidR="009E2DBF">
        <w:rPr>
          <w:rFonts w:ascii="Arial" w:hAnsi="Arial" w:cs="Arial"/>
          <w:color w:val="000000"/>
          <w:sz w:val="20"/>
          <w:szCs w:val="20"/>
        </w:rPr>
        <w:t>aby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 docház</w:t>
      </w:r>
      <w:r w:rsidR="009E2DBF">
        <w:rPr>
          <w:rFonts w:ascii="Arial" w:hAnsi="Arial" w:cs="Arial"/>
          <w:color w:val="000000"/>
          <w:sz w:val="20"/>
          <w:szCs w:val="20"/>
        </w:rPr>
        <w:t>elo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 k personálnímu oddělení jednotlivých organizačních útvarů způsobem, který efektivně zamezuje nežádoucímu toku informací a jejich případnému zneužití; </w:t>
      </w:r>
    </w:p>
    <w:p w14:paraId="18D9512E" w14:textId="05FDE1DC" w:rsidR="00A75183" w:rsidRPr="00A75183" w:rsidRDefault="00A75183" w:rsidP="00A7518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 xml:space="preserve">- zajišťuje funkční a organizační nezávislost jednotlivých organizačních útvarů, které mají dostatečné materiální a organizační podmínky pro objektivní výkon své činnosti; </w:t>
      </w:r>
    </w:p>
    <w:p w14:paraId="3D3E07F4" w14:textId="41349BBB" w:rsidR="00A75183" w:rsidRPr="00A75183" w:rsidRDefault="00A75183" w:rsidP="00A75183">
      <w:pPr>
        <w:tabs>
          <w:tab w:val="left" w:pos="1103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 xml:space="preserve">- má zavedena pravidla pro realizaci osobních obchodů zaměstnanců Atlantiku a osob se zvláštním vztahem k Atlantiku a provádí pravidelnou kontrolu jejich dodržování; </w:t>
      </w:r>
    </w:p>
    <w:p w14:paraId="0FC3F149" w14:textId="7935CCC2" w:rsidR="00A75183" w:rsidRPr="00A75183" w:rsidRDefault="00A75183" w:rsidP="00A7518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>- vede seznamy s investičními nástroji (</w:t>
      </w:r>
      <w:proofErr w:type="spellStart"/>
      <w:r w:rsidRPr="00A75183">
        <w:rPr>
          <w:rFonts w:ascii="Arial" w:hAnsi="Arial" w:cs="Arial"/>
          <w:color w:val="000000"/>
          <w:sz w:val="20"/>
          <w:szCs w:val="20"/>
        </w:rPr>
        <w:t>watch</w:t>
      </w:r>
      <w:proofErr w:type="spellEnd"/>
      <w:r w:rsidRPr="00A75183">
        <w:rPr>
          <w:rFonts w:ascii="Arial" w:hAnsi="Arial" w:cs="Arial"/>
          <w:color w:val="000000"/>
          <w:sz w:val="20"/>
          <w:szCs w:val="20"/>
        </w:rPr>
        <w:t xml:space="preserve"> list, </w:t>
      </w:r>
      <w:proofErr w:type="spellStart"/>
      <w:r w:rsidRPr="00A75183">
        <w:rPr>
          <w:rFonts w:ascii="Arial" w:hAnsi="Arial" w:cs="Arial"/>
          <w:color w:val="000000"/>
          <w:sz w:val="20"/>
          <w:szCs w:val="20"/>
        </w:rPr>
        <w:t>restricted</w:t>
      </w:r>
      <w:proofErr w:type="spellEnd"/>
      <w:r w:rsidRPr="00A75183">
        <w:rPr>
          <w:rFonts w:ascii="Arial" w:hAnsi="Arial" w:cs="Arial"/>
          <w:color w:val="000000"/>
          <w:sz w:val="20"/>
          <w:szCs w:val="20"/>
        </w:rPr>
        <w:t xml:space="preserve"> list), u kterých může dojít ke střetu zájmů; </w:t>
      </w:r>
    </w:p>
    <w:p w14:paraId="6B0C4898" w14:textId="4B5FA423" w:rsidR="00A75183" w:rsidRPr="00A75183" w:rsidRDefault="00A75183" w:rsidP="00A7518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 xml:space="preserve">- vede seznam zasvěcených osob, tzn. osob, které mají k dispozici vnitřní informace; </w:t>
      </w:r>
    </w:p>
    <w:p w14:paraId="1C7893BA" w14:textId="7644EF1D" w:rsidR="00A75183" w:rsidRPr="00A75183" w:rsidRDefault="00A75183" w:rsidP="00A75183">
      <w:pPr>
        <w:tabs>
          <w:tab w:val="left" w:pos="1115"/>
        </w:tabs>
        <w:spacing w:before="120" w:after="120" w:line="265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75183">
        <w:rPr>
          <w:rFonts w:ascii="Arial" w:hAnsi="Arial" w:cs="Arial"/>
          <w:color w:val="000000"/>
          <w:sz w:val="20"/>
          <w:szCs w:val="20"/>
        </w:rPr>
        <w:t>- v rámci systému vnitřní kontroly zajišťuje pravidelný dohled (</w:t>
      </w:r>
      <w:proofErr w:type="spellStart"/>
      <w:r w:rsidRPr="00A75183">
        <w:rPr>
          <w:rFonts w:ascii="Arial" w:hAnsi="Arial" w:cs="Arial"/>
          <w:color w:val="000000"/>
          <w:sz w:val="20"/>
          <w:szCs w:val="20"/>
        </w:rPr>
        <w:t>compliance</w:t>
      </w:r>
      <w:proofErr w:type="spellEnd"/>
      <w:r w:rsidRPr="00A75183">
        <w:rPr>
          <w:rFonts w:ascii="Arial" w:hAnsi="Arial" w:cs="Arial"/>
          <w:color w:val="000000"/>
          <w:sz w:val="20"/>
          <w:szCs w:val="20"/>
        </w:rPr>
        <w:t>, interní audit), a to taktéž nad</w:t>
      </w:r>
      <w:r w:rsidR="00BD0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183">
        <w:rPr>
          <w:rFonts w:ascii="Arial" w:hAnsi="Arial" w:cs="Arial"/>
          <w:color w:val="000000"/>
          <w:sz w:val="20"/>
          <w:szCs w:val="20"/>
        </w:rPr>
        <w:t xml:space="preserve">osobami poskytujícími investiční služby jménem Atlantiku. </w:t>
      </w:r>
    </w:p>
    <w:p w14:paraId="1309C8D8" w14:textId="1CF3C6BD" w:rsidR="00FA1F6F" w:rsidRPr="00FA1F6F" w:rsidRDefault="00FA1F6F" w:rsidP="00FA1F6F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FA1F6F">
        <w:rPr>
          <w:rFonts w:ascii="Arial" w:hAnsi="Arial" w:cs="Arial"/>
          <w:color w:val="000000"/>
          <w:sz w:val="20"/>
          <w:szCs w:val="20"/>
        </w:rPr>
        <w:t>V případech, kdy není možné střetu zájmu účinně předejít, informuje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FA1F6F">
        <w:rPr>
          <w:rFonts w:ascii="Arial" w:hAnsi="Arial" w:cs="Arial"/>
          <w:color w:val="000000"/>
          <w:sz w:val="20"/>
          <w:szCs w:val="20"/>
        </w:rPr>
        <w:t xml:space="preserve"> před poskytnutím investiční služby o existenci střetu zájmu, resp. jeho povaze a zdroji, zákazníka, přičemž zákazník má tak možnost zvážit střet zájmů a učinit podložené rozhodnutí, zda využije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FA1F6F">
        <w:rPr>
          <w:rFonts w:ascii="Arial" w:hAnsi="Arial" w:cs="Arial"/>
          <w:color w:val="000000"/>
          <w:sz w:val="20"/>
          <w:szCs w:val="20"/>
        </w:rPr>
        <w:t xml:space="preserve"> nabízené investiční služby či nikoli. </w:t>
      </w:r>
    </w:p>
    <w:p w14:paraId="53A5C114" w14:textId="0D4362EF" w:rsidR="00FA1F6F" w:rsidRPr="00FA1F6F" w:rsidRDefault="00FA1F6F" w:rsidP="00FA1F6F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2B6056CB" w14:textId="2728A345" w:rsidR="00FA1F6F" w:rsidRPr="004B12FC" w:rsidRDefault="00FA1F6F" w:rsidP="004B12FC">
      <w:pPr>
        <w:spacing w:line="254" w:lineRule="exact"/>
        <w:rPr>
          <w:rFonts w:ascii="Arial" w:hAnsi="Arial" w:cs="Arial"/>
          <w:b/>
          <w:bCs/>
          <w:sz w:val="20"/>
          <w:szCs w:val="20"/>
        </w:rPr>
      </w:pPr>
      <w:r w:rsidRPr="006F784F">
        <w:rPr>
          <w:rFonts w:ascii="Arial" w:hAnsi="Arial" w:cs="Arial"/>
          <w:b/>
          <w:bCs/>
          <w:sz w:val="20"/>
          <w:szCs w:val="20"/>
        </w:rPr>
        <w:t>Pobídky</w:t>
      </w:r>
      <w:r w:rsidR="004B12F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F7746">
        <w:rPr>
          <w:rFonts w:ascii="Arial" w:hAnsi="Arial" w:cs="Arial"/>
          <w:color w:val="000000"/>
          <w:sz w:val="20"/>
          <w:szCs w:val="20"/>
        </w:rPr>
        <w:t>Specifickým případem střetu zájmů jsou tzv. pobídky. A</w:t>
      </w:r>
      <w:r w:rsidR="006F784F">
        <w:rPr>
          <w:rFonts w:ascii="Arial" w:hAnsi="Arial" w:cs="Arial"/>
          <w:color w:val="000000"/>
          <w:sz w:val="20"/>
          <w:szCs w:val="20"/>
        </w:rPr>
        <w:t>tlantik</w:t>
      </w:r>
      <w:r w:rsidRPr="005F7746">
        <w:rPr>
          <w:rFonts w:ascii="Arial" w:hAnsi="Arial" w:cs="Arial"/>
          <w:color w:val="000000"/>
          <w:sz w:val="20"/>
          <w:szCs w:val="20"/>
        </w:rPr>
        <w:t xml:space="preserve"> nesmí při poskytování investičních služeb přijmout, nabídnout nebo poskytnout poplatek, odměnu nebo nepeněžitou výhodu, která může vést k porušení povinnosti obchodníka s cennými papíry jednat kvalifikovaně, čestně, spravedlivě a v nejlepším zájmu zákazníků.  </w:t>
      </w:r>
    </w:p>
    <w:p w14:paraId="29EE7367" w14:textId="77777777" w:rsidR="00FA1F6F" w:rsidRPr="005F7746" w:rsidRDefault="00FA1F6F" w:rsidP="005F7746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32E151BC" w14:textId="1069F864" w:rsidR="00FA1F6F" w:rsidRPr="005F7746" w:rsidRDefault="00FA1F6F" w:rsidP="005F7746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5F7746">
        <w:rPr>
          <w:rFonts w:ascii="Arial" w:hAnsi="Arial" w:cs="Arial"/>
          <w:color w:val="000000"/>
          <w:sz w:val="20"/>
          <w:szCs w:val="20"/>
        </w:rPr>
        <w:t>Pobídky jsou přípustné pouze za splnění podmínek stanovených právními předpisy, zejména za předpokladu, že pobídky: a) jsou hrazeny zákazníkem, za zákazníka nebo jsou vypláceny zákazníkovi; b) jsou hrazeny třetí straně či pro třetí stranu nebo poskytovány třetí stranou či za třetí stranu a zákazník byl před poskytnutím investiční služby jasně, srozumitelně a úplně informován o existenci a povaze pobídky a výši nebo hodnotě pobídky nebo způsobu  jejich výpočtu, pokud je nelze zjistit předem, pobídky přispívají ke zlepšení kvality poskytované investiční služby a  pobídky nejsou v rozporu s povinností A</w:t>
      </w:r>
      <w:r w:rsidR="006F784F">
        <w:rPr>
          <w:rFonts w:ascii="Arial" w:hAnsi="Arial" w:cs="Arial"/>
          <w:color w:val="000000"/>
          <w:sz w:val="20"/>
          <w:szCs w:val="20"/>
        </w:rPr>
        <w:t>tlantiku</w:t>
      </w:r>
      <w:r w:rsidRPr="005F7746">
        <w:rPr>
          <w:rFonts w:ascii="Arial" w:hAnsi="Arial" w:cs="Arial"/>
          <w:color w:val="000000"/>
          <w:sz w:val="20"/>
          <w:szCs w:val="20"/>
        </w:rPr>
        <w:t xml:space="preserve"> jednat v nejlepším zájmu zákazníka. Stejně tak jsou obecně přípustné pobídky, které umožní poskytování </w:t>
      </w:r>
      <w:r w:rsidRPr="005F7746">
        <w:rPr>
          <w:rFonts w:ascii="Arial" w:hAnsi="Arial" w:cs="Arial"/>
          <w:color w:val="000000"/>
          <w:sz w:val="20"/>
          <w:szCs w:val="20"/>
        </w:rPr>
        <w:lastRenderedPageBreak/>
        <w:t>investičních služeb nebo které jsou pro tento účel nutné, a to opět za splnění podmínky, že jejich povaha není v rozporu s povinností A</w:t>
      </w:r>
      <w:r w:rsidR="006F784F">
        <w:rPr>
          <w:rFonts w:ascii="Arial" w:hAnsi="Arial" w:cs="Arial"/>
          <w:color w:val="000000"/>
          <w:sz w:val="20"/>
          <w:szCs w:val="20"/>
        </w:rPr>
        <w:t>tlantiku</w:t>
      </w:r>
      <w:r w:rsidRPr="005F7746">
        <w:rPr>
          <w:rFonts w:ascii="Arial" w:hAnsi="Arial" w:cs="Arial"/>
          <w:color w:val="000000"/>
          <w:sz w:val="20"/>
          <w:szCs w:val="20"/>
        </w:rPr>
        <w:t xml:space="preserve"> jednat kvalifikovaně, čestně, spravedlivě a v nejlepším zájmu zákazníků. A</w:t>
      </w:r>
      <w:r w:rsidR="006F784F">
        <w:rPr>
          <w:rFonts w:ascii="Arial" w:hAnsi="Arial" w:cs="Arial"/>
          <w:color w:val="000000"/>
          <w:sz w:val="20"/>
          <w:szCs w:val="20"/>
        </w:rPr>
        <w:t>tlantik</w:t>
      </w:r>
      <w:r w:rsidRPr="005F7746">
        <w:rPr>
          <w:rFonts w:ascii="Arial" w:hAnsi="Arial" w:cs="Arial"/>
          <w:color w:val="000000"/>
          <w:sz w:val="20"/>
          <w:szCs w:val="20"/>
        </w:rPr>
        <w:t xml:space="preserve"> přistupuje k řízení pobídek stejným způsobem jako u jiných střetů zájmů, tzn. zajišťuje jejich identifikaci, provádí jejich efektivní řízení a činí opatření proti vzniku, resp. přijetí, nabízení nebo poskytnutí, nepřípustných pobídek. </w:t>
      </w:r>
    </w:p>
    <w:p w14:paraId="073AE88C" w14:textId="0F986A99" w:rsidR="00881225" w:rsidRDefault="00881225" w:rsidP="00881225"/>
    <w:p w14:paraId="653E198A" w14:textId="5C6A6E99" w:rsidR="00625935" w:rsidRPr="004B12FC" w:rsidRDefault="00625935" w:rsidP="00625935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4B12FC">
        <w:rPr>
          <w:rFonts w:ascii="Arial" w:hAnsi="Arial" w:cs="Arial"/>
          <w:b/>
          <w:bCs/>
          <w:sz w:val="20"/>
          <w:szCs w:val="20"/>
          <w:u w:val="single"/>
        </w:rPr>
        <w:t>Informace o ochraně majetku zákazníka</w:t>
      </w:r>
    </w:p>
    <w:p w14:paraId="7AD3C67A" w14:textId="063A94F1" w:rsidR="00BD0E04" w:rsidRPr="001208AB" w:rsidRDefault="001208AB" w:rsidP="004F7FF7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625935" w:rsidRPr="003B1BA3">
        <w:rPr>
          <w:rFonts w:ascii="Arial" w:hAnsi="Arial" w:cs="Arial"/>
          <w:color w:val="000000"/>
          <w:sz w:val="20"/>
          <w:szCs w:val="20"/>
        </w:rPr>
        <w:t xml:space="preserve">V současné době Atlantik </w:t>
      </w:r>
      <w:r w:rsidRPr="003B1BA3">
        <w:rPr>
          <w:rFonts w:ascii="Arial" w:hAnsi="Arial" w:cs="Arial"/>
          <w:color w:val="000000"/>
          <w:sz w:val="20"/>
          <w:szCs w:val="20"/>
        </w:rPr>
        <w:t xml:space="preserve">svým 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 xml:space="preserve">zákazníkům poskytuje výhradně služby depozitáře investičního fondu podle ZISIF. Atlantik pověřil </w:t>
      </w:r>
      <w:r w:rsidRPr="003B1BA3">
        <w:rPr>
          <w:rFonts w:ascii="Arial" w:hAnsi="Arial" w:cs="Arial"/>
          <w:color w:val="000000"/>
          <w:sz w:val="20"/>
          <w:szCs w:val="20"/>
        </w:rPr>
        <w:t>činností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 xml:space="preserve"> úschovy</w:t>
      </w:r>
      <w:r w:rsidRPr="003B1BA3">
        <w:rPr>
          <w:rFonts w:ascii="Arial" w:hAnsi="Arial" w:cs="Arial"/>
          <w:color w:val="000000"/>
          <w:sz w:val="20"/>
          <w:szCs w:val="20"/>
        </w:rPr>
        <w:t xml:space="preserve"> a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 xml:space="preserve"> správy</w:t>
      </w:r>
      <w:r w:rsidRPr="003B1BA3">
        <w:rPr>
          <w:rFonts w:ascii="Arial" w:hAnsi="Arial" w:cs="Arial"/>
          <w:color w:val="000000"/>
          <w:sz w:val="20"/>
          <w:szCs w:val="20"/>
        </w:rPr>
        <w:t xml:space="preserve"> 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 xml:space="preserve">zaknihovaných cenných papírů </w:t>
      </w:r>
      <w:r w:rsidR="00636C13" w:rsidRPr="003B1BA3">
        <w:rPr>
          <w:rFonts w:ascii="Arial" w:hAnsi="Arial" w:cs="Arial"/>
          <w:color w:val="000000"/>
          <w:sz w:val="20"/>
          <w:szCs w:val="20"/>
        </w:rPr>
        <w:t xml:space="preserve">a cenných papírů </w:t>
      </w:r>
      <w:r w:rsidR="00807550" w:rsidRPr="003B1BA3">
        <w:rPr>
          <w:rFonts w:ascii="Arial" w:hAnsi="Arial" w:cs="Arial"/>
          <w:color w:val="000000"/>
          <w:sz w:val="20"/>
          <w:szCs w:val="20"/>
        </w:rPr>
        <w:t xml:space="preserve">v majetku </w:t>
      </w:r>
      <w:r w:rsidR="00504867" w:rsidRPr="003B1BA3">
        <w:rPr>
          <w:rFonts w:ascii="Arial" w:hAnsi="Arial" w:cs="Arial"/>
          <w:color w:val="000000"/>
          <w:sz w:val="20"/>
          <w:szCs w:val="20"/>
        </w:rPr>
        <w:t xml:space="preserve">investičních </w:t>
      </w:r>
      <w:r w:rsidR="00807550" w:rsidRPr="003B1BA3">
        <w:rPr>
          <w:rFonts w:ascii="Arial" w:hAnsi="Arial" w:cs="Arial"/>
          <w:color w:val="000000"/>
          <w:sz w:val="20"/>
          <w:szCs w:val="20"/>
        </w:rPr>
        <w:t xml:space="preserve">fondů (zákazníků Atlantiku) 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>jiného v souladu s § 77 a násl. ZISIF, a to konkrétně Komerční bank</w:t>
      </w:r>
      <w:r w:rsidRPr="003B1BA3">
        <w:rPr>
          <w:rFonts w:ascii="Arial" w:hAnsi="Arial" w:cs="Arial"/>
          <w:color w:val="000000"/>
          <w:sz w:val="20"/>
          <w:szCs w:val="20"/>
        </w:rPr>
        <w:t>u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>, a.s., UniCredit Bank Czech Republic and Slovakia, a.s. a J&amp;T BANK</w:t>
      </w:r>
      <w:r w:rsidRPr="003B1BA3">
        <w:rPr>
          <w:rFonts w:ascii="Arial" w:hAnsi="Arial" w:cs="Arial"/>
          <w:color w:val="000000"/>
          <w:sz w:val="20"/>
          <w:szCs w:val="20"/>
        </w:rPr>
        <w:t>U</w:t>
      </w:r>
      <w:r w:rsidR="00625935" w:rsidRPr="003B1BA3">
        <w:rPr>
          <w:rFonts w:ascii="Arial" w:hAnsi="Arial" w:cs="Arial"/>
          <w:color w:val="000000"/>
          <w:sz w:val="20"/>
          <w:szCs w:val="20"/>
        </w:rPr>
        <w:t>, a.s.</w:t>
      </w:r>
      <w:r w:rsidR="00625935" w:rsidRPr="001208AB">
        <w:rPr>
          <w:rFonts w:ascii="Arial" w:hAnsi="Arial" w:cs="Arial"/>
          <w:color w:val="000000"/>
          <w:sz w:val="20"/>
          <w:szCs w:val="20"/>
        </w:rPr>
        <w:t xml:space="preserve"> </w:t>
      </w:r>
      <w:r w:rsidR="00636C13" w:rsidRPr="00636C13">
        <w:rPr>
          <w:rFonts w:ascii="Arial" w:hAnsi="Arial" w:cs="Arial"/>
          <w:color w:val="000000"/>
          <w:sz w:val="20"/>
          <w:szCs w:val="20"/>
        </w:rPr>
        <w:t>R</w:t>
      </w:r>
      <w:r w:rsidR="00625935" w:rsidRPr="00636C13">
        <w:rPr>
          <w:rFonts w:ascii="Arial" w:hAnsi="Arial" w:cs="Arial"/>
          <w:color w:val="000000"/>
          <w:sz w:val="20"/>
          <w:szCs w:val="20"/>
        </w:rPr>
        <w:t>ozsah zmocnění je definován vždy in</w:t>
      </w:r>
      <w:r w:rsidR="002951E5" w:rsidRPr="00636C13">
        <w:rPr>
          <w:rFonts w:ascii="Arial" w:hAnsi="Arial" w:cs="Arial"/>
          <w:color w:val="000000"/>
          <w:sz w:val="20"/>
          <w:szCs w:val="20"/>
        </w:rPr>
        <w:t>dividuálně ve vztahu ke konkrétnímu investičnímu fondu.</w:t>
      </w:r>
      <w:r w:rsidR="002951E5" w:rsidRPr="001208AB">
        <w:rPr>
          <w:rFonts w:ascii="Arial" w:hAnsi="Arial" w:cs="Arial"/>
          <w:color w:val="000000"/>
          <w:sz w:val="20"/>
          <w:szCs w:val="20"/>
        </w:rPr>
        <w:t xml:space="preserve"> </w:t>
      </w:r>
      <w:r w:rsidR="002951E5" w:rsidRPr="00636C13">
        <w:rPr>
          <w:rFonts w:ascii="Arial" w:hAnsi="Arial" w:cs="Arial"/>
          <w:color w:val="000000"/>
          <w:sz w:val="20"/>
          <w:szCs w:val="20"/>
        </w:rPr>
        <w:t xml:space="preserve">Činnost pověřené osoby je Atlantikem pravidelně monitorována a kontrolována 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>z pohledu jejího souladu s česk</w:t>
      </w:r>
      <w:r w:rsidR="00504867">
        <w:rPr>
          <w:rFonts w:ascii="Arial" w:hAnsi="Arial" w:cs="Arial"/>
          <w:color w:val="000000"/>
          <w:sz w:val="20"/>
          <w:szCs w:val="20"/>
        </w:rPr>
        <w:t>ou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 xml:space="preserve"> i evropsk</w:t>
      </w:r>
      <w:r w:rsidR="00504867">
        <w:rPr>
          <w:rFonts w:ascii="Arial" w:hAnsi="Arial" w:cs="Arial"/>
          <w:color w:val="000000"/>
          <w:sz w:val="20"/>
          <w:szCs w:val="20"/>
        </w:rPr>
        <w:t>ou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 xml:space="preserve"> </w:t>
      </w:r>
      <w:r w:rsidR="00504867">
        <w:rPr>
          <w:rFonts w:ascii="Arial" w:hAnsi="Arial" w:cs="Arial"/>
          <w:color w:val="000000"/>
          <w:sz w:val="20"/>
          <w:szCs w:val="20"/>
        </w:rPr>
        <w:t>regulací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>.</w:t>
      </w:r>
      <w:r w:rsidR="00BD0E04" w:rsidRPr="001208AB">
        <w:rPr>
          <w:rFonts w:ascii="Arial" w:hAnsi="Arial" w:cs="Arial"/>
          <w:color w:val="000000"/>
          <w:sz w:val="20"/>
          <w:szCs w:val="20"/>
        </w:rPr>
        <w:t xml:space="preserve"> 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>Pověřené osoby jsou, mimo jiné, povinny zajišťovat</w:t>
      </w:r>
      <w:r w:rsidR="00BD0E04" w:rsidRPr="001208AB">
        <w:rPr>
          <w:rFonts w:ascii="Arial" w:hAnsi="Arial" w:cs="Arial"/>
          <w:color w:val="000000"/>
          <w:sz w:val="20"/>
          <w:szCs w:val="20"/>
        </w:rPr>
        <w:t xml:space="preserve"> 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>soustavnou a jednoznačnou identifikaci majetku zákazníka tak, že m</w:t>
      </w:r>
      <w:r w:rsidR="00636C13">
        <w:rPr>
          <w:rFonts w:ascii="Arial" w:hAnsi="Arial" w:cs="Arial"/>
          <w:color w:val="000000"/>
          <w:sz w:val="20"/>
          <w:szCs w:val="20"/>
        </w:rPr>
        <w:t>ohou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 xml:space="preserve"> kdykoliv odlišit majetek držený pro jednoho zákazníka od majetku drženého pro ostatní zákazníky a od svého vlastního majetku. Majetek zákazník</w:t>
      </w:r>
      <w:r w:rsidR="00636C13">
        <w:rPr>
          <w:rFonts w:ascii="Arial" w:hAnsi="Arial" w:cs="Arial"/>
          <w:color w:val="000000"/>
          <w:sz w:val="20"/>
          <w:szCs w:val="20"/>
        </w:rPr>
        <w:t>ů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 xml:space="preserve"> není součástí majetkové podstaty A</w:t>
      </w:r>
      <w:r w:rsidR="00636C13">
        <w:rPr>
          <w:rFonts w:ascii="Arial" w:hAnsi="Arial" w:cs="Arial"/>
          <w:color w:val="000000"/>
          <w:sz w:val="20"/>
          <w:szCs w:val="20"/>
        </w:rPr>
        <w:t>tlantiku ani majetkové podstaty pověřených osob</w:t>
      </w:r>
      <w:r w:rsidR="00BD0E04" w:rsidRPr="00636C1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F264937" w14:textId="0412F753" w:rsidR="00BD0E04" w:rsidRDefault="00BD0E04" w:rsidP="0062593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656053C1" w14:textId="54992EB3" w:rsidR="00636C13" w:rsidRPr="00625935" w:rsidRDefault="00636C13" w:rsidP="004B12FC">
      <w:pPr>
        <w:spacing w:before="38" w:line="256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4B12FC">
        <w:rPr>
          <w:rFonts w:ascii="Arial" w:hAnsi="Arial" w:cs="Arial"/>
          <w:b/>
          <w:bCs/>
          <w:color w:val="000000"/>
          <w:sz w:val="20"/>
          <w:szCs w:val="20"/>
        </w:rPr>
        <w:t>Garanční fond obchodníků s cennými papíry</w:t>
      </w:r>
      <w:r w:rsidR="004B12FC" w:rsidRPr="004B12F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B12FC" w:rsidRPr="004B12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935">
        <w:rPr>
          <w:rFonts w:ascii="Arial" w:hAnsi="Arial" w:cs="Arial"/>
          <w:color w:val="000000"/>
          <w:sz w:val="20"/>
          <w:szCs w:val="20"/>
        </w:rPr>
        <w:t>Majetek zákazník</w:t>
      </w:r>
      <w:r>
        <w:rPr>
          <w:rFonts w:ascii="Arial" w:hAnsi="Arial" w:cs="Arial"/>
          <w:color w:val="000000"/>
          <w:sz w:val="20"/>
          <w:szCs w:val="20"/>
        </w:rPr>
        <w:t>ů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je za podmínek a v rozsahu stanovených ZPKT chráněn záručním systémem, který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625935">
        <w:rPr>
          <w:rFonts w:ascii="Arial" w:hAnsi="Arial" w:cs="Arial"/>
          <w:color w:val="000000"/>
          <w:sz w:val="20"/>
          <w:szCs w:val="20"/>
        </w:rPr>
        <w:t>ajišťuje Garanční fond obchodníků s cennými papíry (dále jen „</w:t>
      </w:r>
      <w:r w:rsidRPr="004B12FC">
        <w:rPr>
          <w:rFonts w:ascii="Arial" w:hAnsi="Arial" w:cs="Arial"/>
          <w:b/>
          <w:bCs/>
          <w:color w:val="000000"/>
          <w:sz w:val="20"/>
          <w:szCs w:val="20"/>
        </w:rPr>
        <w:t>Garanční fond</w:t>
      </w:r>
      <w:r w:rsidRPr="00625935">
        <w:rPr>
          <w:rFonts w:ascii="Arial" w:hAnsi="Arial" w:cs="Arial"/>
          <w:color w:val="000000"/>
          <w:sz w:val="20"/>
          <w:szCs w:val="20"/>
        </w:rPr>
        <w:t>“).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 povinen </w:t>
      </w:r>
      <w:r w:rsidRPr="00625935">
        <w:rPr>
          <w:rFonts w:ascii="Arial" w:hAnsi="Arial" w:cs="Arial"/>
          <w:color w:val="000000"/>
          <w:sz w:val="20"/>
          <w:szCs w:val="20"/>
        </w:rPr>
        <w:t>plat</w:t>
      </w:r>
      <w:r>
        <w:rPr>
          <w:rFonts w:ascii="Arial" w:hAnsi="Arial" w:cs="Arial"/>
          <w:color w:val="000000"/>
          <w:sz w:val="20"/>
          <w:szCs w:val="20"/>
        </w:rPr>
        <w:t>it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do Garančního fondu roční příspěvek ve výši 2 % z objemu výnosů z poplatků a provizí za poskytnuté investiční služby za poslední kalendářní rok. Zákazník má nárok na výplatu náhrady z Garančního fondu, pokud A</w:t>
      </w:r>
      <w:r>
        <w:rPr>
          <w:rFonts w:ascii="Arial" w:hAnsi="Arial" w:cs="Arial"/>
          <w:color w:val="000000"/>
          <w:sz w:val="20"/>
          <w:szCs w:val="20"/>
        </w:rPr>
        <w:t>tlantik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z důvodu své finanční situace není schopen plnit své závazky spočívající ve vydání majetku zákazníkům a není pravděpodobné, že je splní do 1 roku, nebo pokud soud vydal rozhodnutí o úpadku 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nebo vydal jiné rozhodnutí, které má za následek, že zákazníci 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 se nemohou účinně domáhat vydání svého majetku vůči 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Pr="00625935">
        <w:rPr>
          <w:rFonts w:ascii="Arial" w:hAnsi="Arial" w:cs="Arial"/>
          <w:color w:val="000000"/>
          <w:sz w:val="20"/>
          <w:szCs w:val="20"/>
        </w:rPr>
        <w:t>. Náhrada se zákazníkovi poskytuje ve výši 90 % majetku svěřeného A</w:t>
      </w:r>
      <w:r>
        <w:rPr>
          <w:rFonts w:ascii="Arial" w:hAnsi="Arial" w:cs="Arial"/>
          <w:color w:val="000000"/>
          <w:sz w:val="20"/>
          <w:szCs w:val="20"/>
        </w:rPr>
        <w:t>tlantiku</w:t>
      </w:r>
      <w:r w:rsidRPr="00625935">
        <w:rPr>
          <w:rFonts w:ascii="Arial" w:hAnsi="Arial" w:cs="Arial"/>
          <w:color w:val="000000"/>
          <w:sz w:val="20"/>
          <w:szCs w:val="20"/>
        </w:rPr>
        <w:t xml:space="preserve">, nejvýše se však vyplatí částka v korunách českých odpovídající 20 000,- EUR pro jednoho zákazníka. </w:t>
      </w:r>
    </w:p>
    <w:p w14:paraId="18B15040" w14:textId="591ABE7F" w:rsidR="00636C13" w:rsidRDefault="00636C13" w:rsidP="0062593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20AFA1B" w14:textId="57008F7B" w:rsidR="007307DA" w:rsidRDefault="007307DA" w:rsidP="007307DA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6816B2">
        <w:rPr>
          <w:rFonts w:ascii="Arial" w:hAnsi="Arial" w:cs="Arial"/>
          <w:b/>
          <w:bCs/>
          <w:sz w:val="20"/>
          <w:szCs w:val="20"/>
          <w:u w:val="single"/>
        </w:rPr>
        <w:t>Kategorizace zákazníků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7324A074" w14:textId="77777777" w:rsidR="003B1BA3" w:rsidRDefault="007307DA" w:rsidP="006862CF">
      <w:pPr>
        <w:spacing w:before="39" w:line="255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6862CF">
        <w:rPr>
          <w:rFonts w:ascii="Arial" w:hAnsi="Arial" w:cs="Arial"/>
          <w:color w:val="000000"/>
          <w:sz w:val="20"/>
          <w:szCs w:val="20"/>
        </w:rPr>
        <w:t>V souladu se ZPKT zařazuje Atlantik své zákazníky</w:t>
      </w:r>
      <w:r w:rsidR="006862CF" w:rsidRPr="006862CF">
        <w:rPr>
          <w:rFonts w:ascii="Arial" w:hAnsi="Arial" w:cs="Arial"/>
          <w:color w:val="000000"/>
          <w:sz w:val="20"/>
          <w:szCs w:val="20"/>
        </w:rPr>
        <w:t xml:space="preserve">, kterým poskytuje investiční službu, </w:t>
      </w:r>
      <w:r w:rsidRPr="006862CF">
        <w:rPr>
          <w:rFonts w:ascii="Arial" w:hAnsi="Arial" w:cs="Arial"/>
          <w:color w:val="000000"/>
          <w:sz w:val="20"/>
          <w:szCs w:val="20"/>
        </w:rPr>
        <w:t>do</w:t>
      </w:r>
      <w:r w:rsidR="006862CF" w:rsidRPr="006862CF">
        <w:rPr>
          <w:rFonts w:ascii="Arial" w:hAnsi="Arial" w:cs="Arial"/>
          <w:color w:val="000000"/>
          <w:sz w:val="20"/>
          <w:szCs w:val="20"/>
        </w:rPr>
        <w:t xml:space="preserve"> jedné ze</w:t>
      </w:r>
      <w:r w:rsidRPr="006862CF">
        <w:rPr>
          <w:rFonts w:ascii="Arial" w:hAnsi="Arial" w:cs="Arial"/>
          <w:color w:val="000000"/>
          <w:sz w:val="20"/>
          <w:szCs w:val="20"/>
        </w:rPr>
        <w:t xml:space="preserve"> tří kategorií: (i) neprofesionální zákazník; (</w:t>
      </w:r>
      <w:proofErr w:type="spellStart"/>
      <w:r w:rsidRPr="006862CF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Pr="006862CF">
        <w:rPr>
          <w:rFonts w:ascii="Arial" w:hAnsi="Arial" w:cs="Arial"/>
          <w:color w:val="000000"/>
          <w:sz w:val="20"/>
          <w:szCs w:val="20"/>
        </w:rPr>
        <w:t>) profesionální zákazník; (</w:t>
      </w:r>
      <w:proofErr w:type="spellStart"/>
      <w:r w:rsidRPr="006862CF"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 w:rsidRPr="006862CF">
        <w:rPr>
          <w:rFonts w:ascii="Arial" w:hAnsi="Arial" w:cs="Arial"/>
          <w:color w:val="000000"/>
          <w:sz w:val="20"/>
          <w:szCs w:val="20"/>
        </w:rPr>
        <w:t>) způsobilá protistrana (tj. profesionální zákazník, vůči němuž A</w:t>
      </w:r>
      <w:r w:rsidR="00504867">
        <w:rPr>
          <w:rFonts w:ascii="Arial" w:hAnsi="Arial" w:cs="Arial"/>
          <w:color w:val="000000"/>
          <w:sz w:val="20"/>
          <w:szCs w:val="20"/>
        </w:rPr>
        <w:t>tlantik</w:t>
      </w:r>
      <w:r w:rsidRPr="006862CF">
        <w:rPr>
          <w:rFonts w:ascii="Arial" w:hAnsi="Arial" w:cs="Arial"/>
          <w:color w:val="000000"/>
          <w:sz w:val="20"/>
          <w:szCs w:val="20"/>
        </w:rPr>
        <w:t xml:space="preserve"> není povinen při poskytování některých hlavních investičních služeb dodržovat pravidla jednání se zákazníky ve smyslu § 15 až </w:t>
      </w:r>
      <w:proofErr w:type="gramStart"/>
      <w:r w:rsidRPr="006862CF">
        <w:rPr>
          <w:rFonts w:ascii="Arial" w:hAnsi="Arial" w:cs="Arial"/>
          <w:color w:val="000000"/>
          <w:sz w:val="20"/>
          <w:szCs w:val="20"/>
        </w:rPr>
        <w:t>15r</w:t>
      </w:r>
      <w:proofErr w:type="gramEnd"/>
      <w:r w:rsidRPr="006862CF">
        <w:rPr>
          <w:rFonts w:ascii="Arial" w:hAnsi="Arial" w:cs="Arial"/>
          <w:color w:val="000000"/>
          <w:sz w:val="20"/>
          <w:szCs w:val="20"/>
        </w:rPr>
        <w:t xml:space="preserve"> ZPKT).  Zákazníci jednotlivých kategorií mají nárok na různý stupeň ochrany, který odpovídá úrovni jejich znalostí a zkušeností s investováním na finančních trzích. Nejvyšší stupeň ochrany je potom poskytován neprofesionálním zákazníkům a nejnižší stupeň je poskytován způsobilým protistranám. Při splnění podmínek stanovených ZPKT může zákazník požádat o zařazení do jiné kategorie. </w:t>
      </w:r>
    </w:p>
    <w:p w14:paraId="47F90E14" w14:textId="77777777" w:rsidR="003B1BA3" w:rsidRDefault="003B1BA3" w:rsidP="006862CF">
      <w:pPr>
        <w:spacing w:before="39" w:line="255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7CF232E1" w14:textId="2AC51B5A" w:rsidR="007307DA" w:rsidRPr="003B1BA3" w:rsidRDefault="00504867" w:rsidP="006862CF">
      <w:pPr>
        <w:spacing w:before="39" w:line="255" w:lineRule="exact"/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r w:rsidRPr="003B1BA3">
        <w:rPr>
          <w:rFonts w:ascii="Arial" w:hAnsi="Arial" w:cs="Arial"/>
          <w:color w:val="000000"/>
          <w:sz w:val="20"/>
          <w:szCs w:val="20"/>
        </w:rPr>
        <w:t>Jelikož Atlantik poskytuje pouze služby depozitáře investičních fondů, mohou se jeho zákazníkem stát pouze investiční fondy ve smyslu ZISIF</w:t>
      </w:r>
      <w:r w:rsidR="003B1BA3" w:rsidRPr="003B1BA3">
        <w:rPr>
          <w:rFonts w:ascii="Arial" w:hAnsi="Arial" w:cs="Arial"/>
          <w:color w:val="000000"/>
          <w:sz w:val="20"/>
          <w:szCs w:val="20"/>
        </w:rPr>
        <w:t xml:space="preserve">, smluvní stranou příslušné </w:t>
      </w:r>
      <w:proofErr w:type="spellStart"/>
      <w:r w:rsidR="003B1BA3" w:rsidRPr="003B1BA3">
        <w:rPr>
          <w:rFonts w:ascii="Arial" w:hAnsi="Arial" w:cs="Arial"/>
          <w:color w:val="000000"/>
          <w:sz w:val="20"/>
          <w:szCs w:val="20"/>
        </w:rPr>
        <w:t>depozitářské</w:t>
      </w:r>
      <w:proofErr w:type="spellEnd"/>
      <w:r w:rsidR="003B1BA3" w:rsidRPr="003B1BA3">
        <w:rPr>
          <w:rFonts w:ascii="Arial" w:hAnsi="Arial" w:cs="Arial"/>
          <w:color w:val="000000"/>
          <w:sz w:val="20"/>
          <w:szCs w:val="20"/>
        </w:rPr>
        <w:t xml:space="preserve"> smlouvy jsou přímo investiční fondy, případně jejich obhospodařovatelé/</w:t>
      </w:r>
      <w:r w:rsidR="00F67304" w:rsidRPr="003B1BA3">
        <w:rPr>
          <w:rFonts w:ascii="Arial" w:hAnsi="Arial" w:cs="Arial"/>
          <w:color w:val="000000"/>
          <w:sz w:val="20"/>
          <w:szCs w:val="20"/>
        </w:rPr>
        <w:t>administrátoři</w:t>
      </w:r>
      <w:r w:rsidR="003B1BA3" w:rsidRPr="003B1BA3">
        <w:rPr>
          <w:rFonts w:ascii="Arial" w:hAnsi="Arial" w:cs="Arial"/>
          <w:color w:val="000000"/>
          <w:sz w:val="20"/>
          <w:szCs w:val="20"/>
        </w:rPr>
        <w:t xml:space="preserve">, kteří jednají na účet a jménem investičních fondů. </w:t>
      </w:r>
    </w:p>
    <w:p w14:paraId="56909805" w14:textId="77777777" w:rsidR="007307DA" w:rsidRPr="007307DA" w:rsidRDefault="007307DA" w:rsidP="007307DA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27EEBF5" w14:textId="2983D838" w:rsidR="007307DA" w:rsidRPr="006816B2" w:rsidRDefault="007307DA" w:rsidP="007307DA">
      <w:pPr>
        <w:pStyle w:val="Odstavecseseznamem"/>
        <w:numPr>
          <w:ilvl w:val="0"/>
          <w:numId w:val="17"/>
        </w:num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6816B2">
        <w:rPr>
          <w:rFonts w:ascii="Arial" w:hAnsi="Arial" w:cs="Arial"/>
          <w:b/>
          <w:bCs/>
          <w:sz w:val="20"/>
          <w:szCs w:val="20"/>
          <w:u w:val="single"/>
        </w:rPr>
        <w:t>Pravidla provádění pokynů</w:t>
      </w:r>
    </w:p>
    <w:p w14:paraId="420A94FD" w14:textId="09A5E8D6" w:rsidR="006862CF" w:rsidRDefault="006862CF" w:rsidP="006862CF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3CE207E6" w14:textId="1FBD8D8A" w:rsidR="006862CF" w:rsidRPr="006862CF" w:rsidRDefault="006862CF" w:rsidP="00D232A8">
      <w:pPr>
        <w:spacing w:before="39" w:line="255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3B1BA3">
        <w:rPr>
          <w:rFonts w:ascii="Arial" w:hAnsi="Arial" w:cs="Arial"/>
          <w:color w:val="000000"/>
          <w:sz w:val="20"/>
          <w:szCs w:val="20"/>
        </w:rPr>
        <w:t>Atlantik svým zákazníkům poskytuje výhradně služby depozitáře investičního fondu podle ZISIF.</w:t>
      </w:r>
      <w:r w:rsidRPr="001208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862CF">
        <w:rPr>
          <w:rFonts w:ascii="Arial" w:hAnsi="Arial" w:cs="Arial"/>
          <w:color w:val="000000"/>
          <w:sz w:val="20"/>
          <w:szCs w:val="20"/>
        </w:rPr>
        <w:t>Pokyny zákazníků Atlantiku související se službou úschovy a správy zaknihovaných cenných papírů a cenných papírů, kterou pověřil jiného (viz informace uvedené v předchozích bodech), se řídí pravidly provádění pokynů příslušné pověřené osoby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1BA3" w:rsidRPr="003B1BA3">
        <w:rPr>
          <w:rFonts w:ascii="Arial" w:hAnsi="Arial" w:cs="Arial"/>
          <w:color w:val="000000"/>
          <w:sz w:val="20"/>
          <w:szCs w:val="20"/>
        </w:rPr>
        <w:t>Atlantik pokyny zákazníků přímo neprovádí.</w:t>
      </w:r>
    </w:p>
    <w:sectPr w:rsidR="006862CF" w:rsidRPr="006862CF" w:rsidSect="001E4E17">
      <w:headerReference w:type="default" r:id="rId17"/>
      <w:footerReference w:type="default" r:id="rId18"/>
      <w:pgSz w:w="11906" w:h="16838"/>
      <w:pgMar w:top="170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E20D" w14:textId="77777777" w:rsidR="00E963B7" w:rsidRDefault="00E963B7" w:rsidP="00E04EA5">
      <w:r>
        <w:separator/>
      </w:r>
    </w:p>
  </w:endnote>
  <w:endnote w:type="continuationSeparator" w:id="0">
    <w:p w14:paraId="44DF3979" w14:textId="77777777" w:rsidR="00E963B7" w:rsidRDefault="00E963B7" w:rsidP="00E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dra Sans Alt Std Light">
    <w:panose1 w:val="00000000000000000000"/>
    <w:charset w:val="00"/>
    <w:family w:val="modern"/>
    <w:notTrueType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E1E" w14:textId="4BF882D5" w:rsidR="005B128E" w:rsidRPr="00A87A2C" w:rsidRDefault="00AD7FDB" w:rsidP="00E12568">
    <w:pPr>
      <w:pStyle w:val="Zpat"/>
      <w:tabs>
        <w:tab w:val="clear" w:pos="4536"/>
        <w:tab w:val="clear" w:pos="9072"/>
        <w:tab w:val="right" w:pos="9496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D4776" wp14:editId="14500D5B">
              <wp:simplePos x="0" y="0"/>
              <wp:positionH relativeFrom="column">
                <wp:posOffset>-153035</wp:posOffset>
              </wp:positionH>
              <wp:positionV relativeFrom="paragraph">
                <wp:posOffset>-287627</wp:posOffset>
              </wp:positionV>
              <wp:extent cx="5821045" cy="361315"/>
              <wp:effectExtent l="0" t="0" r="0" b="6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045" cy="361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E6403" w14:textId="77777777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ATLANTIK finanční trhy, a.s., se sídlem Sokolovská 700/</w:t>
                          </w:r>
                          <w:proofErr w:type="gramStart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113a</w:t>
                          </w:r>
                          <w:proofErr w:type="gramEnd"/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pacing w:val="-4"/>
                              <w:sz w:val="15"/>
                              <w:szCs w:val="15"/>
                            </w:rPr>
                            <w:t>, 186 00 Praha 8, Česká republika</w:t>
                          </w:r>
                        </w:p>
                        <w:p w14:paraId="56F4B1CD" w14:textId="1B27ABDA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Společnost je zapsána v obchodním rejstříku u Městského soudu v Praze, oddíl B, Vložka 7328, IČ</w:t>
                          </w:r>
                          <w:r w:rsidR="00B753F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>O</w:t>
                          </w:r>
                          <w:r w:rsidRPr="001E4E17"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26218062</w:t>
                          </w:r>
                        </w:p>
                        <w:p w14:paraId="0455F532" w14:textId="77777777" w:rsidR="001E4E17" w:rsidRPr="001E4E17" w:rsidRDefault="001E4E17" w:rsidP="001E4E17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D47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12.05pt;margin-top:-22.65pt;width:458.35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" filled="f" stroked="f" strokeweight=".5pt">
              <v:textbox>
                <w:txbxContent>
                  <w:p w14:paraId="22BE6403" w14:textId="77777777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ATLANTIK finanční trhy, a.s., se sídlem Sokolovská 700/</w:t>
                    </w:r>
                    <w:proofErr w:type="gramStart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113a</w:t>
                    </w:r>
                    <w:proofErr w:type="gramEnd"/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pacing w:val="-4"/>
                        <w:sz w:val="15"/>
                        <w:szCs w:val="15"/>
                      </w:rPr>
                      <w:t>, 186 00 Praha 8, Česká republika</w:t>
                    </w:r>
                  </w:p>
                  <w:p w14:paraId="56F4B1CD" w14:textId="1B27ABDA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</w:pP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Společnost je zapsána v obchodním rejstříku u Městského soudu v Praze, oddíl B, Vložka 7328, IČ</w:t>
                    </w:r>
                    <w:r w:rsidR="00B753F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>O</w:t>
                    </w:r>
                    <w:r w:rsidRPr="001E4E17">
                      <w:rPr>
                        <w:rFonts w:asciiTheme="minorHAnsi" w:hAnsiTheme="minorHAnsi" w:cstheme="minorHAnsi"/>
                        <w:color w:val="7F7F7F" w:themeColor="text1" w:themeTint="80"/>
                        <w:sz w:val="12"/>
                        <w:szCs w:val="12"/>
                      </w:rPr>
                      <w:t xml:space="preserve"> 26218062</w:t>
                    </w:r>
                  </w:p>
                  <w:p w14:paraId="0455F532" w14:textId="77777777" w:rsidR="001E4E17" w:rsidRPr="001E4E17" w:rsidRDefault="001E4E17" w:rsidP="001E4E17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B753F7">
      <w:rPr>
        <w:noProof/>
      </w:rPr>
      <w:drawing>
        <wp:anchor distT="0" distB="0" distL="114300" distR="114300" simplePos="0" relativeHeight="251658752" behindDoc="1" locked="0" layoutInCell="1" allowOverlap="1" wp14:anchorId="47AF9754" wp14:editId="3A6215FB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115050" cy="24447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5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3512" w14:textId="77777777" w:rsidR="00E963B7" w:rsidRDefault="00E963B7" w:rsidP="00E04EA5">
      <w:r>
        <w:separator/>
      </w:r>
    </w:p>
  </w:footnote>
  <w:footnote w:type="continuationSeparator" w:id="0">
    <w:p w14:paraId="2D86AC8A" w14:textId="77777777" w:rsidR="00E963B7" w:rsidRDefault="00E963B7" w:rsidP="00E0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612" w14:textId="37BDF58E" w:rsidR="00A241EC" w:rsidRPr="00F631EB" w:rsidRDefault="00A87A2C" w:rsidP="00A13829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00CB66" wp14:editId="1B87E6D7">
          <wp:simplePos x="0" y="0"/>
          <wp:positionH relativeFrom="page">
            <wp:posOffset>815151</wp:posOffset>
          </wp:positionH>
          <wp:positionV relativeFrom="page">
            <wp:posOffset>614359</wp:posOffset>
          </wp:positionV>
          <wp:extent cx="1176655" cy="182880"/>
          <wp:effectExtent l="0" t="0" r="4445" b="7620"/>
          <wp:wrapSquare wrapText="bothSides"/>
          <wp:docPr id="7" name="obrázek 2" descr="U:\GRAFIKA\ATLANTIK_logo_bez_K\ATL.logo_bez_K\ATL.LOGO.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U:\GRAFIKA\ATLANTIK_logo_bez_K\ATL.logo_bez_K\ATL.LOGO.se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EA5" w:rsidRPr="005B128E">
      <w:rPr>
        <w:rFonts w:eastAsiaTheme="minorHAnsi"/>
      </w:rPr>
      <w:t xml:space="preserve"> </w:t>
    </w:r>
    <w:r w:rsidR="00A241EC">
      <w:rPr>
        <w:rFonts w:eastAsia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13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05C74752"/>
    <w:multiLevelType w:val="hybridMultilevel"/>
    <w:tmpl w:val="7324A95C"/>
    <w:lvl w:ilvl="0" w:tplc="DDB62C4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D522C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F0C6F02"/>
    <w:multiLevelType w:val="hybridMultilevel"/>
    <w:tmpl w:val="7C542AF6"/>
    <w:lvl w:ilvl="0" w:tplc="E7DED1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5657F"/>
    <w:multiLevelType w:val="hybridMultilevel"/>
    <w:tmpl w:val="9AF425F4"/>
    <w:lvl w:ilvl="0" w:tplc="556EF3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65C3"/>
    <w:multiLevelType w:val="hybridMultilevel"/>
    <w:tmpl w:val="29D8C1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767C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B827B6F"/>
    <w:multiLevelType w:val="hybridMultilevel"/>
    <w:tmpl w:val="68562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1376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22E575F5"/>
    <w:multiLevelType w:val="hybridMultilevel"/>
    <w:tmpl w:val="80F0E608"/>
    <w:lvl w:ilvl="0" w:tplc="7E3A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651"/>
    <w:multiLevelType w:val="hybridMultilevel"/>
    <w:tmpl w:val="34BA4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4118"/>
    <w:multiLevelType w:val="hybridMultilevel"/>
    <w:tmpl w:val="290AD324"/>
    <w:lvl w:ilvl="0" w:tplc="96302B7E">
      <w:start w:val="1"/>
      <w:numFmt w:val="lowerRoman"/>
      <w:lvlText w:val="(%1)"/>
      <w:lvlJc w:val="left"/>
      <w:pPr>
        <w:ind w:left="72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71702"/>
    <w:multiLevelType w:val="hybridMultilevel"/>
    <w:tmpl w:val="A7EA6EA4"/>
    <w:lvl w:ilvl="0" w:tplc="F01C1778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04C32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4E847644"/>
    <w:multiLevelType w:val="hybridMultilevel"/>
    <w:tmpl w:val="DA988536"/>
    <w:lvl w:ilvl="0" w:tplc="EB5238CE">
      <w:start w:val="1"/>
      <w:numFmt w:val="lowerRoman"/>
      <w:lvlText w:val="(%1)"/>
      <w:lvlJc w:val="left"/>
      <w:pPr>
        <w:ind w:left="72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B4165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534E1D99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636A1A8B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67CD02A0"/>
    <w:multiLevelType w:val="hybridMultilevel"/>
    <w:tmpl w:val="29D8C108"/>
    <w:lvl w:ilvl="0" w:tplc="0A0E14F4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652DEB"/>
    <w:multiLevelType w:val="hybridMultilevel"/>
    <w:tmpl w:val="0E505EC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A41D1"/>
    <w:multiLevelType w:val="hybridMultilevel"/>
    <w:tmpl w:val="1706B65E"/>
    <w:lvl w:ilvl="0" w:tplc="FFFFFFFF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7BB8164D"/>
    <w:multiLevelType w:val="hybridMultilevel"/>
    <w:tmpl w:val="1706B65E"/>
    <w:lvl w:ilvl="0" w:tplc="47BC7D86">
      <w:start w:val="1"/>
      <w:numFmt w:val="decimal"/>
      <w:lvlText w:val="%1."/>
      <w:lvlJc w:val="left"/>
      <w:pPr>
        <w:ind w:left="560" w:hanging="360"/>
      </w:pPr>
      <w:rPr>
        <w:rFonts w:ascii="Calibri" w:hAnsi="Calibri" w:cs="Calibri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25793554">
    <w:abstractNumId w:val="9"/>
  </w:num>
  <w:num w:numId="2" w16cid:durableId="1786735312">
    <w:abstractNumId w:val="7"/>
  </w:num>
  <w:num w:numId="3" w16cid:durableId="789085306">
    <w:abstractNumId w:val="10"/>
  </w:num>
  <w:num w:numId="4" w16cid:durableId="231552358">
    <w:abstractNumId w:val="4"/>
  </w:num>
  <w:num w:numId="5" w16cid:durableId="1589579289">
    <w:abstractNumId w:val="21"/>
  </w:num>
  <w:num w:numId="6" w16cid:durableId="189955984">
    <w:abstractNumId w:val="8"/>
  </w:num>
  <w:num w:numId="7" w16cid:durableId="94248806">
    <w:abstractNumId w:val="18"/>
  </w:num>
  <w:num w:numId="8" w16cid:durableId="289360179">
    <w:abstractNumId w:val="20"/>
  </w:num>
  <w:num w:numId="9" w16cid:durableId="1251239443">
    <w:abstractNumId w:val="5"/>
  </w:num>
  <w:num w:numId="10" w16cid:durableId="319119807">
    <w:abstractNumId w:val="13"/>
  </w:num>
  <w:num w:numId="11" w16cid:durableId="1339238982">
    <w:abstractNumId w:val="2"/>
  </w:num>
  <w:num w:numId="12" w16cid:durableId="489757304">
    <w:abstractNumId w:val="17"/>
  </w:num>
  <w:num w:numId="13" w16cid:durableId="1299720623">
    <w:abstractNumId w:val="0"/>
  </w:num>
  <w:num w:numId="14" w16cid:durableId="861436163">
    <w:abstractNumId w:val="16"/>
  </w:num>
  <w:num w:numId="15" w16cid:durableId="1383210400">
    <w:abstractNumId w:val="6"/>
  </w:num>
  <w:num w:numId="16" w16cid:durableId="694503929">
    <w:abstractNumId w:val="15"/>
  </w:num>
  <w:num w:numId="17" w16cid:durableId="1949265673">
    <w:abstractNumId w:val="12"/>
  </w:num>
  <w:num w:numId="18" w16cid:durableId="2053572520">
    <w:abstractNumId w:val="3"/>
  </w:num>
  <w:num w:numId="19" w16cid:durableId="860050322">
    <w:abstractNumId w:val="11"/>
  </w:num>
  <w:num w:numId="20" w16cid:durableId="953636979">
    <w:abstractNumId w:val="1"/>
  </w:num>
  <w:num w:numId="21" w16cid:durableId="1584294019">
    <w:abstractNumId w:val="14"/>
  </w:num>
  <w:num w:numId="22" w16cid:durableId="1292437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4D"/>
    <w:rsid w:val="0004273F"/>
    <w:rsid w:val="00047BDD"/>
    <w:rsid w:val="000E1924"/>
    <w:rsid w:val="000E2FAB"/>
    <w:rsid w:val="001208AB"/>
    <w:rsid w:val="00124C63"/>
    <w:rsid w:val="00130F57"/>
    <w:rsid w:val="00133C08"/>
    <w:rsid w:val="001351D3"/>
    <w:rsid w:val="001529F2"/>
    <w:rsid w:val="00194BF8"/>
    <w:rsid w:val="001D32FD"/>
    <w:rsid w:val="001E4E17"/>
    <w:rsid w:val="00204913"/>
    <w:rsid w:val="0020610A"/>
    <w:rsid w:val="00215747"/>
    <w:rsid w:val="002231DA"/>
    <w:rsid w:val="00261FA5"/>
    <w:rsid w:val="00287301"/>
    <w:rsid w:val="002907C8"/>
    <w:rsid w:val="002951E5"/>
    <w:rsid w:val="002E5E60"/>
    <w:rsid w:val="002F2814"/>
    <w:rsid w:val="00331582"/>
    <w:rsid w:val="00332AA4"/>
    <w:rsid w:val="00340744"/>
    <w:rsid w:val="00355BC7"/>
    <w:rsid w:val="003777AE"/>
    <w:rsid w:val="003B1BA3"/>
    <w:rsid w:val="004020C0"/>
    <w:rsid w:val="00480E1D"/>
    <w:rsid w:val="004B12FC"/>
    <w:rsid w:val="004F7FF7"/>
    <w:rsid w:val="00504867"/>
    <w:rsid w:val="005455D6"/>
    <w:rsid w:val="00572374"/>
    <w:rsid w:val="005A544D"/>
    <w:rsid w:val="005B128E"/>
    <w:rsid w:val="005F7746"/>
    <w:rsid w:val="0061448A"/>
    <w:rsid w:val="00616E93"/>
    <w:rsid w:val="00625935"/>
    <w:rsid w:val="00636C13"/>
    <w:rsid w:val="006816B2"/>
    <w:rsid w:val="00684624"/>
    <w:rsid w:val="006862CF"/>
    <w:rsid w:val="00691361"/>
    <w:rsid w:val="006B7DBB"/>
    <w:rsid w:val="006F784F"/>
    <w:rsid w:val="00711124"/>
    <w:rsid w:val="007307DA"/>
    <w:rsid w:val="00754E87"/>
    <w:rsid w:val="00780612"/>
    <w:rsid w:val="007D789E"/>
    <w:rsid w:val="00807550"/>
    <w:rsid w:val="00831F78"/>
    <w:rsid w:val="00881225"/>
    <w:rsid w:val="008F5A39"/>
    <w:rsid w:val="00930045"/>
    <w:rsid w:val="00933D5A"/>
    <w:rsid w:val="009E2DBF"/>
    <w:rsid w:val="00A13829"/>
    <w:rsid w:val="00A241EC"/>
    <w:rsid w:val="00A3797F"/>
    <w:rsid w:val="00A75183"/>
    <w:rsid w:val="00A87A2C"/>
    <w:rsid w:val="00A96220"/>
    <w:rsid w:val="00AD1E11"/>
    <w:rsid w:val="00AD26BF"/>
    <w:rsid w:val="00AD7FDB"/>
    <w:rsid w:val="00B01DA5"/>
    <w:rsid w:val="00B65F9F"/>
    <w:rsid w:val="00B70358"/>
    <w:rsid w:val="00B753F7"/>
    <w:rsid w:val="00B9077C"/>
    <w:rsid w:val="00BD0E04"/>
    <w:rsid w:val="00C76301"/>
    <w:rsid w:val="00CA26AD"/>
    <w:rsid w:val="00CB6A33"/>
    <w:rsid w:val="00D232A8"/>
    <w:rsid w:val="00D23A69"/>
    <w:rsid w:val="00DF5375"/>
    <w:rsid w:val="00E04EA5"/>
    <w:rsid w:val="00E12568"/>
    <w:rsid w:val="00E21C91"/>
    <w:rsid w:val="00E418F8"/>
    <w:rsid w:val="00E564A5"/>
    <w:rsid w:val="00E80C68"/>
    <w:rsid w:val="00E963B7"/>
    <w:rsid w:val="00EB37C4"/>
    <w:rsid w:val="00ED560D"/>
    <w:rsid w:val="00EE6633"/>
    <w:rsid w:val="00F13E18"/>
    <w:rsid w:val="00F631EB"/>
    <w:rsid w:val="00F67304"/>
    <w:rsid w:val="00F70FB3"/>
    <w:rsid w:val="00FA1F6F"/>
    <w:rsid w:val="00FC0595"/>
    <w:rsid w:val="00FC6698"/>
    <w:rsid w:val="00FD19D9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56A0"/>
  <w15:docId w15:val="{66A21DAF-0A40-4ABA-97DB-CEB4B1E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27">
    <w:name w:val="xl27"/>
    <w:basedOn w:val="Normln"/>
    <w:rsid w:val="005A544D"/>
    <w:pPr>
      <w:spacing w:before="100" w:beforeAutospacing="1" w:after="100" w:afterAutospacing="1"/>
    </w:pPr>
    <w:rPr>
      <w:rFonts w:ascii="Tahoma" w:eastAsia="Arial Unicode MS" w:hAnsi="Tahoma" w:cs="Tahoma"/>
    </w:rPr>
  </w:style>
  <w:style w:type="paragraph" w:customStyle="1" w:styleId="Default">
    <w:name w:val="Default"/>
    <w:rsid w:val="005A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E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2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JaTdopisnipapiradresa">
    <w:name w:val="JaT dopisni papir_adresa"/>
    <w:basedOn w:val="Normln"/>
    <w:uiPriority w:val="99"/>
    <w:rsid w:val="001E4E17"/>
    <w:pPr>
      <w:autoSpaceDE w:val="0"/>
      <w:autoSpaceDN w:val="0"/>
      <w:adjustRightInd w:val="0"/>
      <w:spacing w:line="220" w:lineRule="atLeast"/>
      <w:textAlignment w:val="center"/>
    </w:pPr>
    <w:rPr>
      <w:rFonts w:ascii="Fedra Sans Alt Std Light" w:hAnsi="Fedra Sans Alt Std Light" w:cs="Fedra Sans Alt Std Light"/>
      <w:color w:val="939598"/>
      <w:spacing w:val="-4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1E4E1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3F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DBB"/>
    <w:rPr>
      <w:color w:val="605E5C"/>
      <w:shd w:val="clear" w:color="auto" w:fill="E1DFDD"/>
    </w:rPr>
  </w:style>
  <w:style w:type="paragraph" w:customStyle="1" w:styleId="l4">
    <w:name w:val="l4"/>
    <w:basedOn w:val="Normln"/>
    <w:rsid w:val="00124C6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24C63"/>
    <w:rPr>
      <w:i/>
      <w:iCs/>
    </w:rPr>
  </w:style>
  <w:style w:type="paragraph" w:customStyle="1" w:styleId="l5">
    <w:name w:val="l5"/>
    <w:basedOn w:val="Normln"/>
    <w:rsid w:val="00124C6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2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nb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i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lantik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ozitar@atlanti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epozitar@atlantik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tlantik.jtbank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e4833f38-4fb8-47d3-b228-00861dbd0fd7">ATLANTIK finanční trhy, a.s.</Kate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436B4868614469DF9327DF9DD93B6" ma:contentTypeVersion="3" ma:contentTypeDescription="Vytvoří nový dokument" ma:contentTypeScope="" ma:versionID="e35846e1549e93f9f8061a2fa8415d2b">
  <xsd:schema xmlns:xsd="http://www.w3.org/2001/XMLSchema" xmlns:xs="http://www.w3.org/2001/XMLSchema" xmlns:p="http://schemas.microsoft.com/office/2006/metadata/properties" xmlns:ns2="e4833f38-4fb8-47d3-b228-00861dbd0fd7" xmlns:ns3="77392052-2980-43e8-90b8-f03611a2d421" targetNamespace="http://schemas.microsoft.com/office/2006/metadata/properties" ma:root="true" ma:fieldsID="24a11f854772efe3535afabda328a5a0" ns2:_="" ns3:_="">
    <xsd:import namespace="e4833f38-4fb8-47d3-b228-00861dbd0fd7"/>
    <xsd:import namespace="77392052-2980-43e8-90b8-f03611a2d421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3f38-4fb8-47d3-b228-00861dbd0fd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92052-2980-43e8-90b8-f03611a2d4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E849-1C13-40D0-B40C-D13337407E6C}">
  <ds:schemaRefs>
    <ds:schemaRef ds:uri="http://schemas.microsoft.com/office/2006/metadata/properties"/>
    <ds:schemaRef ds:uri="http://schemas.microsoft.com/office/infopath/2007/PartnerControls"/>
    <ds:schemaRef ds:uri="e4833f38-4fb8-47d3-b228-00861dbd0fd7"/>
  </ds:schemaRefs>
</ds:datastoreItem>
</file>

<file path=customXml/itemProps2.xml><?xml version="1.0" encoding="utf-8"?>
<ds:datastoreItem xmlns:ds="http://schemas.openxmlformats.org/officeDocument/2006/customXml" ds:itemID="{79FE774D-49A4-4532-8527-386F6C28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33f38-4fb8-47d3-b228-00861dbd0fd7"/>
    <ds:schemaRef ds:uri="77392052-2980-43e8-90b8-f03611a2d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3FDB4-DBFB-46F1-8093-F179EEF9A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05DBC-2E46-4CF9-9B0C-C3264C3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2006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ATLANTIK-hlavičkový papír_CZ</vt:lpstr>
    </vt:vector>
  </TitlesOfParts>
  <Company>J&amp;T Banka, a.s.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ATLANTIK-hlavičkový papír_CZ</dc:title>
  <dc:subject/>
  <dc:creator>Libor Tomeš</dc:creator>
  <cp:keywords/>
  <dc:description/>
  <cp:lastModifiedBy>Osoha Lukáš</cp:lastModifiedBy>
  <cp:revision>5</cp:revision>
  <cp:lastPrinted>2013-12-17T14:25:00Z</cp:lastPrinted>
  <dcterms:created xsi:type="dcterms:W3CDTF">2023-02-21T14:19:00Z</dcterms:created>
  <dcterms:modified xsi:type="dcterms:W3CDTF">2023-02-22T09:20:00Z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0x010100F57436B4868614469DF9327DF9DD93B6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2021-07-08T11:31:11Z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20b3a0be-e63a-4c4d-a09c-b08668dee255</vt:lpwstr>
  </property>
  <property fmtid="{D5CDD505-2E9C-101B-9397-08002B2CF9AE}" pid="9" name="MSIP_Label_63f4bb52-bd44-4e71-98c6-b1e43e6be5b6_ContentBits">
    <vt:lpwstr>0</vt:lpwstr>
  </property>
</Properties>
</file>